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73876" w14:textId="2DDC9ADA" w:rsidR="007A06A5" w:rsidRDefault="008024F2" w:rsidP="007A06A5">
      <w:pPr>
        <w:pStyle w:val="NoSpacing"/>
        <w:rPr>
          <w:b/>
        </w:rPr>
      </w:pPr>
      <w:r>
        <w:rPr>
          <w:b/>
        </w:rPr>
        <w:t>Q&amp;A on the d</w:t>
      </w:r>
      <w:r w:rsidR="007A06A5" w:rsidRPr="007A06A5">
        <w:rPr>
          <w:b/>
        </w:rPr>
        <w:t>ue diligence</w:t>
      </w:r>
      <w:r w:rsidR="0014590D">
        <w:rPr>
          <w:b/>
        </w:rPr>
        <w:t xml:space="preserve"> process</w:t>
      </w:r>
      <w:r w:rsidR="007A06A5" w:rsidRPr="007A06A5">
        <w:rPr>
          <w:b/>
        </w:rPr>
        <w:t xml:space="preserve"> for LIBOR L</w:t>
      </w:r>
      <w:r w:rsidR="007B1633">
        <w:rPr>
          <w:b/>
        </w:rPr>
        <w:t>inked Loan Portfolios</w:t>
      </w:r>
    </w:p>
    <w:p w14:paraId="7E4DBCBD" w14:textId="77777777" w:rsidR="007A06A5" w:rsidRPr="007A06A5" w:rsidRDefault="007A06A5" w:rsidP="007A06A5">
      <w:pPr>
        <w:pStyle w:val="NoSpacing"/>
      </w:pPr>
    </w:p>
    <w:p w14:paraId="1A5F981C" w14:textId="7BDA94CD" w:rsidR="00382F3E" w:rsidRDefault="00242094" w:rsidP="007A06A5">
      <w:pPr>
        <w:pStyle w:val="NoSpacing"/>
      </w:pPr>
      <w:r>
        <w:t>On 24 March 2021, t</w:t>
      </w:r>
      <w:r w:rsidR="002369C8">
        <w:t xml:space="preserve">he Bank </w:t>
      </w:r>
      <w:r>
        <w:t xml:space="preserve">published </w:t>
      </w:r>
      <w:r w:rsidR="00B46EB3">
        <w:t xml:space="preserve">a revised </w:t>
      </w:r>
      <w:hyperlink r:id="rId8" w:history="1">
        <w:r w:rsidR="00B46EB3" w:rsidRPr="00F7543A">
          <w:rPr>
            <w:rStyle w:val="Hyperlink"/>
          </w:rPr>
          <w:t>Market Notice</w:t>
        </w:r>
      </w:hyperlink>
      <w:r w:rsidR="00B46EB3">
        <w:t xml:space="preserve"> on</w:t>
      </w:r>
      <w:r w:rsidR="00FE08B2">
        <w:t xml:space="preserve"> its</w:t>
      </w:r>
      <w:r w:rsidR="002369C8">
        <w:t xml:space="preserve"> </w:t>
      </w:r>
      <w:r w:rsidR="002369C8">
        <w:rPr>
          <w:lang w:val="en"/>
        </w:rPr>
        <w:t>risk management approach to collateral referencing LIBOR</w:t>
      </w:r>
      <w:r w:rsidR="00F36506">
        <w:rPr>
          <w:lang w:val="en"/>
        </w:rPr>
        <w:t xml:space="preserve"> rates</w:t>
      </w:r>
      <w:r w:rsidR="002369C8">
        <w:rPr>
          <w:lang w:val="en"/>
        </w:rPr>
        <w:t xml:space="preserve"> for use in the Sterling Monetary Framework</w:t>
      </w:r>
      <w:r w:rsidR="002369C8">
        <w:t xml:space="preserve"> (the Market Notice)</w:t>
      </w:r>
      <w:r>
        <w:t xml:space="preserve">. </w:t>
      </w:r>
      <w:r w:rsidR="00382F3E">
        <w:t>Throughout this Q&amp;A document, LIBOR refers to GBP LIBOR</w:t>
      </w:r>
      <w:r w:rsidR="00D50D48">
        <w:t>, 1 week and 2 month USD LIBOR settings, EUR LIBOR, JPY LIBOR and CHF LIBOR.</w:t>
      </w:r>
    </w:p>
    <w:p w14:paraId="21A46574" w14:textId="77777777" w:rsidR="00382F3E" w:rsidRDefault="00382F3E" w:rsidP="007A06A5">
      <w:pPr>
        <w:pStyle w:val="NoSpacing"/>
      </w:pPr>
    </w:p>
    <w:p w14:paraId="074E8F82" w14:textId="22FC2390" w:rsidR="00F7543A" w:rsidRDefault="00242094" w:rsidP="007A06A5">
      <w:pPr>
        <w:pStyle w:val="NoSpacing"/>
      </w:pPr>
      <w:r>
        <w:t xml:space="preserve">As set out in the </w:t>
      </w:r>
      <w:r w:rsidRPr="00953EFE">
        <w:t>Market Notice</w:t>
      </w:r>
      <w:r>
        <w:t>, the Bank</w:t>
      </w:r>
      <w:r w:rsidR="00F7543A">
        <w:t xml:space="preserve"> </w:t>
      </w:r>
      <w:r w:rsidR="008037B0">
        <w:t xml:space="preserve">reserves the right to waive </w:t>
      </w:r>
      <w:r w:rsidR="00F7543A">
        <w:t xml:space="preserve">the </w:t>
      </w:r>
      <w:r w:rsidR="00020713">
        <w:t>L</w:t>
      </w:r>
      <w:r w:rsidR="00F7543A">
        <w:t>IBOR linked haircut add-ons</w:t>
      </w:r>
      <w:r w:rsidR="008037B0">
        <w:t xml:space="preserve"> applicable</w:t>
      </w:r>
      <w:r w:rsidR="00F7543A">
        <w:t xml:space="preserve"> to LIBOR Linked </w:t>
      </w:r>
      <w:r w:rsidR="004F5206">
        <w:t>Loan Portfolios</w:t>
      </w:r>
      <w:r w:rsidR="00F7543A">
        <w:t xml:space="preserve"> where it is satisfied (in its sole discretion) that </w:t>
      </w:r>
      <w:r w:rsidR="00F7543A" w:rsidRPr="0030342B">
        <w:t xml:space="preserve">such </w:t>
      </w:r>
      <w:r w:rsidR="0030342B">
        <w:t>portfolios</w:t>
      </w:r>
      <w:r w:rsidR="0030342B" w:rsidRPr="0030342B">
        <w:t xml:space="preserve"> </w:t>
      </w:r>
      <w:r w:rsidR="00F7543A" w:rsidRPr="0030342B">
        <w:t>benefit</w:t>
      </w:r>
      <w:r w:rsidR="00F7543A">
        <w:t xml:space="preserve"> from</w:t>
      </w:r>
      <w:r w:rsidR="004F5206">
        <w:t xml:space="preserve"> </w:t>
      </w:r>
      <w:r w:rsidR="00F7543A">
        <w:t>a robust fallback or future rate switch mechanism that meets the conditions s</w:t>
      </w:r>
      <w:r w:rsidR="00B46EB3">
        <w:t>pecified in the Market Notice</w:t>
      </w:r>
      <w:r w:rsidR="002369C8">
        <w:t xml:space="preserve">. In addition, LIBOR linked haircut add-ons will cease to apply if </w:t>
      </w:r>
      <w:r w:rsidR="00584E04">
        <w:t>the Bank is satisfied (in its sole discretion) that</w:t>
      </w:r>
      <w:r w:rsidR="00FE08B2">
        <w:t xml:space="preserve"> </w:t>
      </w:r>
      <w:r w:rsidR="004F5206">
        <w:t>contractual amendments to effect an upfront replacement of LIBOR with an alternative rate</w:t>
      </w:r>
      <w:r w:rsidR="002369C8">
        <w:t xml:space="preserve"> have been </w:t>
      </w:r>
      <w:r w:rsidR="008C385C">
        <w:t>implemented</w:t>
      </w:r>
      <w:r w:rsidR="009526EC">
        <w:t xml:space="preserve"> and </w:t>
      </w:r>
      <w:r w:rsidR="004F5206">
        <w:t>are legally binding, enforceable and irrevocable.</w:t>
      </w:r>
    </w:p>
    <w:p w14:paraId="6BE4109E" w14:textId="77777777" w:rsidR="004F5206" w:rsidRDefault="004F5206" w:rsidP="007A06A5">
      <w:pPr>
        <w:pStyle w:val="NoSpacing"/>
      </w:pPr>
    </w:p>
    <w:p w14:paraId="68427FA2" w14:textId="0A01BFAF" w:rsidR="0069609C" w:rsidRDefault="004F5206" w:rsidP="008E4960">
      <w:pPr>
        <w:pStyle w:val="NoSpacing"/>
      </w:pPr>
      <w:r>
        <w:t xml:space="preserve">If SMF participants consider that their LIBOR Linked </w:t>
      </w:r>
      <w:r w:rsidR="00533B71">
        <w:t xml:space="preserve">Loan Portfolio meets the criteria </w:t>
      </w:r>
      <w:r w:rsidR="008024F2">
        <w:t xml:space="preserve">outlined </w:t>
      </w:r>
      <w:r w:rsidR="00533B71">
        <w:t>above, and want the Bank to consider removing the LIBOR linked haircut</w:t>
      </w:r>
      <w:r w:rsidR="00CE7A60">
        <w:t xml:space="preserve"> add-on</w:t>
      </w:r>
      <w:r w:rsidR="00533B71">
        <w:t xml:space="preserve"> applied</w:t>
      </w:r>
      <w:r w:rsidR="00CE7A60">
        <w:t xml:space="preserve"> since 1 April 2021</w:t>
      </w:r>
      <w:r w:rsidR="00533B71">
        <w:t xml:space="preserve">, then they are required to complete </w:t>
      </w:r>
      <w:r w:rsidR="008678C0">
        <w:t xml:space="preserve">the </w:t>
      </w:r>
      <w:r w:rsidR="00533B71">
        <w:t>due diligence</w:t>
      </w:r>
      <w:r w:rsidR="008E4960">
        <w:t xml:space="preserve"> process</w:t>
      </w:r>
      <w:r w:rsidR="0069609C">
        <w:t xml:space="preserve"> outlined below.</w:t>
      </w:r>
    </w:p>
    <w:p w14:paraId="0023633C" w14:textId="68A2B349" w:rsidR="005E4EE0" w:rsidRDefault="005E4EE0" w:rsidP="008E4960">
      <w:pPr>
        <w:pStyle w:val="NoSpacing"/>
      </w:pPr>
    </w:p>
    <w:p w14:paraId="44C4E418" w14:textId="1883D492" w:rsidR="005E4EE0" w:rsidRDefault="005E4EE0" w:rsidP="008E4960">
      <w:pPr>
        <w:pStyle w:val="NoSpacing"/>
      </w:pPr>
      <w:r>
        <w:t xml:space="preserve">If LIBOR linked haircut add-ons </w:t>
      </w:r>
      <w:r w:rsidR="00550B5E">
        <w:t xml:space="preserve">are </w:t>
      </w:r>
      <w:r>
        <w:t>removed, participants will need to continue to monitor any transition mechanism (</w:t>
      </w:r>
      <w:proofErr w:type="spellStart"/>
      <w:r>
        <w:t>ie</w:t>
      </w:r>
      <w:proofErr w:type="spellEnd"/>
      <w:r>
        <w:t xml:space="preserve"> </w:t>
      </w:r>
      <w:r w:rsidR="0072203F">
        <w:t>upfront replacement, fallback language or future rate switch) put in place and inform the Bank immediately if they become aware of any factors that could impact the efficacy of those provisions and/or challenge their enforceability. The Bank reserves the right to re-assess eligibility of any LIBOR Linked Collateral at any time</w:t>
      </w:r>
      <w:r w:rsidR="00604929">
        <w:t xml:space="preserve"> and/or any removal of the LIBOR linked haircut add-ons</w:t>
      </w:r>
      <w:r w:rsidR="0072203F">
        <w:t>.</w:t>
      </w:r>
    </w:p>
    <w:p w14:paraId="306AE2D1" w14:textId="77777777" w:rsidR="0069609C" w:rsidRDefault="0069609C" w:rsidP="008E4960">
      <w:pPr>
        <w:pStyle w:val="NoSpacing"/>
      </w:pPr>
    </w:p>
    <w:p w14:paraId="70322232" w14:textId="6D927330" w:rsidR="00533B71" w:rsidRDefault="00084C01" w:rsidP="007A06A5">
      <w:pPr>
        <w:pStyle w:val="NoSpacing"/>
      </w:pPr>
      <w:r>
        <w:t>This Q&amp;A document</w:t>
      </w:r>
      <w:r w:rsidR="008E4960">
        <w:t xml:space="preserve"> </w:t>
      </w:r>
      <w:r w:rsidR="0069609C">
        <w:t xml:space="preserve">deals solely with </w:t>
      </w:r>
      <w:r w:rsidR="008E4960">
        <w:t>the due diligence process to be completed for LIBOR Linked Loan Portfolios.</w:t>
      </w:r>
      <w:r w:rsidR="0069609C">
        <w:t xml:space="preserve"> A separate due diligence process will be required to be completed for Collateral Securities</w:t>
      </w:r>
      <w:r w:rsidR="00C47ABA">
        <w:t xml:space="preserve"> and will be available in due course</w:t>
      </w:r>
      <w:r w:rsidR="0069609C">
        <w:t>.</w:t>
      </w:r>
    </w:p>
    <w:p w14:paraId="4E56D1FF" w14:textId="77777777" w:rsidR="00533B71" w:rsidRDefault="00533B71" w:rsidP="007A06A5">
      <w:pPr>
        <w:pStyle w:val="NoSpacing"/>
      </w:pPr>
    </w:p>
    <w:p w14:paraId="73C30AF6" w14:textId="77777777" w:rsidR="007B1633" w:rsidRDefault="007B1633" w:rsidP="007A06A5">
      <w:pPr>
        <w:pStyle w:val="NoSpacing"/>
      </w:pPr>
    </w:p>
    <w:p w14:paraId="1C886BB7" w14:textId="1AB74A8C" w:rsidR="007A06A5" w:rsidRDefault="007B1633" w:rsidP="007A06A5">
      <w:pPr>
        <w:pStyle w:val="NoSpacing"/>
        <w:rPr>
          <w:b/>
        </w:rPr>
      </w:pPr>
      <w:r>
        <w:rPr>
          <w:b/>
        </w:rPr>
        <w:t xml:space="preserve">Q1: What </w:t>
      </w:r>
      <w:r w:rsidR="00C419AE">
        <w:rPr>
          <w:b/>
        </w:rPr>
        <w:t>is</w:t>
      </w:r>
      <w:r>
        <w:rPr>
          <w:b/>
        </w:rPr>
        <w:t xml:space="preserve"> the</w:t>
      </w:r>
      <w:r w:rsidR="008F6C89">
        <w:rPr>
          <w:b/>
        </w:rPr>
        <w:t xml:space="preserve"> definition of a LIBOR Linked Loan Portfolio?</w:t>
      </w:r>
    </w:p>
    <w:p w14:paraId="38991822" w14:textId="77777777" w:rsidR="007B1633" w:rsidRPr="008F6C89" w:rsidRDefault="007B1633" w:rsidP="007A06A5">
      <w:pPr>
        <w:pStyle w:val="NoSpacing"/>
        <w:rPr>
          <w:b/>
          <w:sz w:val="12"/>
        </w:rPr>
      </w:pPr>
    </w:p>
    <w:p w14:paraId="45A80AD9" w14:textId="70EA92B9" w:rsidR="000A1548" w:rsidRDefault="008F6C89" w:rsidP="00775D41">
      <w:pPr>
        <w:pStyle w:val="NoSpacing"/>
      </w:pPr>
      <w:r>
        <w:t xml:space="preserve">As </w:t>
      </w:r>
      <w:r w:rsidR="008024F2">
        <w:t xml:space="preserve">set out </w:t>
      </w:r>
      <w:r>
        <w:t xml:space="preserve">in the </w:t>
      </w:r>
      <w:r w:rsidRPr="00953EFE">
        <w:t>Market Notice</w:t>
      </w:r>
      <w:r>
        <w:t xml:space="preserve">, </w:t>
      </w:r>
      <w:r w:rsidR="00D23BDB">
        <w:t xml:space="preserve">a LIBOR Linked Loan Portfolio refers to Loan Portfolios where one or more loans in the portfolio is a LIBOR Linked Loan. </w:t>
      </w:r>
      <w:r w:rsidRPr="008F6C89">
        <w:t>LIBOR Linked Loans refers to loans maturing after 31 December 2021, where the borrower is currently paying, will revert to paying, or may be required to pay a rate of interest or any amount calculated by reference to LIBOR.</w:t>
      </w:r>
    </w:p>
    <w:p w14:paraId="682BA057" w14:textId="2D08F2E5" w:rsidR="00C44C96" w:rsidRDefault="00C44C96" w:rsidP="00775D41">
      <w:pPr>
        <w:pStyle w:val="NoSpacing"/>
      </w:pPr>
    </w:p>
    <w:p w14:paraId="06D34D34" w14:textId="11221DE4" w:rsidR="007235B2" w:rsidRDefault="008024F2" w:rsidP="00775D41">
      <w:pPr>
        <w:pStyle w:val="NoSpacing"/>
      </w:pPr>
      <w:r>
        <w:t xml:space="preserve">A </w:t>
      </w:r>
      <w:r w:rsidR="007235B2" w:rsidRPr="007235B2">
        <w:t>loan will continue to be treated as</w:t>
      </w:r>
      <w:r w:rsidR="007235B2">
        <w:t xml:space="preserve"> a</w:t>
      </w:r>
      <w:r w:rsidR="007235B2" w:rsidRPr="007235B2">
        <w:t xml:space="preserve"> LIBOR Linked Loan following the implementation of contractual amendment</w:t>
      </w:r>
      <w:r w:rsidR="005C44BC">
        <w:t>s</w:t>
      </w:r>
      <w:r w:rsidR="007235B2" w:rsidRPr="007235B2">
        <w:t xml:space="preserve"> to replace LIBOR with an alternative rate </w:t>
      </w:r>
      <w:r w:rsidR="007235B2" w:rsidRPr="002F698B">
        <w:t>until the due diligence process</w:t>
      </w:r>
      <w:r w:rsidR="002F698B" w:rsidRPr="002F698B">
        <w:t xml:space="preserve"> has been completed</w:t>
      </w:r>
      <w:r w:rsidR="00710387">
        <w:t>. This is in order for the Bank to satisfy itself (in its sole discretion) that those contractual amendments are legally binding, enforceable and irrevocable.</w:t>
      </w:r>
    </w:p>
    <w:p w14:paraId="6C71E283" w14:textId="24562BAF" w:rsidR="008F6C89" w:rsidRDefault="008F6C89" w:rsidP="007A06A5">
      <w:pPr>
        <w:pStyle w:val="NoSpacing"/>
      </w:pPr>
    </w:p>
    <w:p w14:paraId="18D6A65B" w14:textId="77777777" w:rsidR="00300125" w:rsidRDefault="00300125" w:rsidP="007A06A5">
      <w:pPr>
        <w:pStyle w:val="NoSpacing"/>
      </w:pPr>
    </w:p>
    <w:p w14:paraId="47D0F692" w14:textId="7BFC0C82" w:rsidR="00AC1429" w:rsidRDefault="00AC1429" w:rsidP="00AC1429">
      <w:pPr>
        <w:pStyle w:val="NoSpacing"/>
        <w:rPr>
          <w:b/>
        </w:rPr>
      </w:pPr>
      <w:r>
        <w:rPr>
          <w:b/>
        </w:rPr>
        <w:t xml:space="preserve">Q2: What is </w:t>
      </w:r>
      <w:r w:rsidR="00C47ABA">
        <w:rPr>
          <w:b/>
        </w:rPr>
        <w:t xml:space="preserve">meant here by </w:t>
      </w:r>
      <w:r>
        <w:rPr>
          <w:b/>
        </w:rPr>
        <w:t>a robust fallback or future rate switch mechanism?</w:t>
      </w:r>
    </w:p>
    <w:p w14:paraId="680BB3B3" w14:textId="5A52051E" w:rsidR="008F6C89" w:rsidRPr="00C419AE" w:rsidRDefault="008F6C89" w:rsidP="007A06A5">
      <w:pPr>
        <w:pStyle w:val="NoSpacing"/>
        <w:rPr>
          <w:sz w:val="12"/>
        </w:rPr>
      </w:pPr>
    </w:p>
    <w:p w14:paraId="179B3FD8" w14:textId="469BB62E" w:rsidR="00AC1429" w:rsidRDefault="00A443B2" w:rsidP="007A06A5">
      <w:pPr>
        <w:pStyle w:val="NoSpacing"/>
      </w:pPr>
      <w:r>
        <w:t xml:space="preserve">As set out in the Market Notice, the Bank reserves the right to waive the LIBOR linked haircut add-ons applicable to LIBOR Linked Loan Portfolios where it is satisfied (in its sole discretion) that </w:t>
      </w:r>
      <w:r w:rsidRPr="0030342B">
        <w:t xml:space="preserve">such </w:t>
      </w:r>
      <w:r>
        <w:t>portfolios</w:t>
      </w:r>
      <w:r w:rsidRPr="0030342B">
        <w:t xml:space="preserve"> benefit</w:t>
      </w:r>
      <w:r>
        <w:t xml:space="preserve"> from a robust fallback or future rate switch mechanism that meets all of the following conditions</w:t>
      </w:r>
      <w:r w:rsidR="00C419AE" w:rsidRPr="0030342B">
        <w:t>:</w:t>
      </w:r>
    </w:p>
    <w:p w14:paraId="2BAD5906" w14:textId="343D0BA7" w:rsidR="00C419AE" w:rsidRPr="00C419AE" w:rsidRDefault="00C419AE" w:rsidP="007A06A5">
      <w:pPr>
        <w:pStyle w:val="NoSpacing"/>
        <w:rPr>
          <w:sz w:val="12"/>
        </w:rPr>
      </w:pPr>
    </w:p>
    <w:p w14:paraId="24F4E2A8" w14:textId="4ECCDBB0" w:rsidR="00C419AE" w:rsidRPr="002F698B" w:rsidRDefault="00C419AE" w:rsidP="00C419AE">
      <w:pPr>
        <w:pStyle w:val="NoSpacing"/>
        <w:numPr>
          <w:ilvl w:val="0"/>
          <w:numId w:val="2"/>
        </w:numPr>
      </w:pPr>
      <w:r w:rsidRPr="002F698B">
        <w:t xml:space="preserve">The legal documentation governing the LIBOR Linked </w:t>
      </w:r>
      <w:r w:rsidR="00235A10" w:rsidRPr="002F698B">
        <w:t xml:space="preserve">Loan Portfolio </w:t>
      </w:r>
      <w:r w:rsidRPr="002F698B">
        <w:t>ensures LIBOR will be replaced with a clearly specified alternative rate either:</w:t>
      </w:r>
    </w:p>
    <w:p w14:paraId="4FFFDF4A" w14:textId="77777777" w:rsidR="00C419AE" w:rsidRPr="002F698B" w:rsidRDefault="00C419AE" w:rsidP="00C419AE">
      <w:pPr>
        <w:pStyle w:val="NoSpacing"/>
        <w:ind w:left="737"/>
        <w:rPr>
          <w:sz w:val="12"/>
          <w:highlight w:val="yellow"/>
        </w:rPr>
      </w:pPr>
    </w:p>
    <w:p w14:paraId="3761A37F" w14:textId="52B70E38" w:rsidR="00C419AE" w:rsidRPr="002F698B" w:rsidRDefault="00C419AE" w:rsidP="00C419AE">
      <w:pPr>
        <w:pStyle w:val="NoSpacing"/>
        <w:numPr>
          <w:ilvl w:val="1"/>
          <w:numId w:val="2"/>
        </w:numPr>
      </w:pPr>
      <w:r w:rsidRPr="002F698B">
        <w:t>On a specified date ahead of its first interest rate reset date occurring after 31 December 2021 (a ‘future rate switch’); or</w:t>
      </w:r>
    </w:p>
    <w:p w14:paraId="53A949C4" w14:textId="39B212DA" w:rsidR="00C419AE" w:rsidRDefault="00C419AE" w:rsidP="00C419AE">
      <w:pPr>
        <w:pStyle w:val="NoSpacing"/>
        <w:numPr>
          <w:ilvl w:val="1"/>
          <w:numId w:val="2"/>
        </w:numPr>
      </w:pPr>
      <w:r>
        <w:t xml:space="preserve">In the event that the relevant LIBOR setting ceases or is no longer representative of the underlying market and economic reality that it seeks to measure, as announced by the </w:t>
      </w:r>
      <w:hyperlink r:id="rId9" w:history="1">
        <w:r w:rsidRPr="00C419AE">
          <w:rPr>
            <w:rStyle w:val="Hyperlink"/>
          </w:rPr>
          <w:t>Financial Conduct Authority (FCA) on its website</w:t>
        </w:r>
      </w:hyperlink>
      <w:r>
        <w:t xml:space="preserve"> (a ‘fallback’);</w:t>
      </w:r>
      <w:r w:rsidR="00016562">
        <w:t xml:space="preserve"> and</w:t>
      </w:r>
    </w:p>
    <w:p w14:paraId="3E7311F1" w14:textId="77777777" w:rsidR="007A06A5" w:rsidRPr="00C419AE" w:rsidRDefault="007A06A5" w:rsidP="007A06A5">
      <w:pPr>
        <w:pStyle w:val="NoSpacing"/>
        <w:rPr>
          <w:sz w:val="12"/>
        </w:rPr>
      </w:pPr>
    </w:p>
    <w:p w14:paraId="7481E656" w14:textId="4DAEFD39" w:rsidR="00C419AE" w:rsidRDefault="00C419AE" w:rsidP="00C419AE">
      <w:pPr>
        <w:pStyle w:val="NoSpacing"/>
        <w:numPr>
          <w:ilvl w:val="0"/>
          <w:numId w:val="2"/>
        </w:numPr>
      </w:pPr>
      <w:r>
        <w:t xml:space="preserve">The legal </w:t>
      </w:r>
      <w:r w:rsidRPr="00C419AE">
        <w:t xml:space="preserve">documentation governing the LIBOR Linked </w:t>
      </w:r>
      <w:r w:rsidR="00235A10">
        <w:t>Loan Portfolio</w:t>
      </w:r>
      <w:r w:rsidR="00235A10" w:rsidRPr="00C419AE">
        <w:t xml:space="preserve"> </w:t>
      </w:r>
      <w:r>
        <w:t xml:space="preserve">clearly specifies the </w:t>
      </w:r>
      <w:r w:rsidRPr="00C419AE">
        <w:t>alternative rate to be adopted, including how this would be calculated and the applicable market conventions, as well as any required credit adjustment spread that may apply in relation to the calculation of the alternative rate.</w:t>
      </w:r>
    </w:p>
    <w:p w14:paraId="5F84128E" w14:textId="77777777" w:rsidR="007A06A5" w:rsidRDefault="007A06A5" w:rsidP="007A06A5">
      <w:pPr>
        <w:pStyle w:val="NoSpacing"/>
      </w:pPr>
    </w:p>
    <w:p w14:paraId="68C8C0C7" w14:textId="77777777" w:rsidR="007A06A5" w:rsidRDefault="007A06A5" w:rsidP="007A06A5">
      <w:pPr>
        <w:pStyle w:val="NoSpacing"/>
      </w:pPr>
    </w:p>
    <w:p w14:paraId="0C9CEF72" w14:textId="4BFAD4F4" w:rsidR="00970354" w:rsidRDefault="00970354" w:rsidP="00970354">
      <w:pPr>
        <w:pStyle w:val="NoSpacing"/>
        <w:rPr>
          <w:b/>
        </w:rPr>
      </w:pPr>
      <w:r>
        <w:rPr>
          <w:b/>
        </w:rPr>
        <w:t xml:space="preserve">Q3: What is </w:t>
      </w:r>
      <w:r w:rsidR="00C47ABA">
        <w:rPr>
          <w:b/>
        </w:rPr>
        <w:t xml:space="preserve">meant here by </w:t>
      </w:r>
      <w:r>
        <w:rPr>
          <w:b/>
        </w:rPr>
        <w:t>an upfront replacement of LIBOR with an alternative rate?</w:t>
      </w:r>
    </w:p>
    <w:p w14:paraId="78988169" w14:textId="396F0680" w:rsidR="007A06A5" w:rsidRPr="00A82EA9" w:rsidRDefault="007A06A5" w:rsidP="00A82EA9">
      <w:pPr>
        <w:pStyle w:val="NoSpacing"/>
        <w:rPr>
          <w:sz w:val="12"/>
        </w:rPr>
      </w:pPr>
    </w:p>
    <w:p w14:paraId="0DA9814C" w14:textId="1F599548" w:rsidR="007A06A5" w:rsidRDefault="00235A10" w:rsidP="007A06A5">
      <w:pPr>
        <w:pStyle w:val="NoSpacing"/>
      </w:pPr>
      <w:r>
        <w:t>This is a</w:t>
      </w:r>
      <w:r w:rsidR="00A82EA9">
        <w:t xml:space="preserve"> more direct way to transition collateral away from LIBOR</w:t>
      </w:r>
      <w:r w:rsidR="00016562">
        <w:t>,</w:t>
      </w:r>
      <w:r w:rsidR="00A82EA9">
        <w:t xml:space="preserve"> </w:t>
      </w:r>
      <w:r>
        <w:t>where an SMF participant</w:t>
      </w:r>
      <w:r w:rsidR="00A82EA9">
        <w:t xml:space="preserve"> make</w:t>
      </w:r>
      <w:r>
        <w:t>s</w:t>
      </w:r>
      <w:r w:rsidR="00A82EA9">
        <w:t xml:space="preserve"> contractual amendments </w:t>
      </w:r>
      <w:r>
        <w:t xml:space="preserve">to </w:t>
      </w:r>
      <w:r w:rsidR="00016562">
        <w:t xml:space="preserve">the legal documentation governing </w:t>
      </w:r>
      <w:r>
        <w:t xml:space="preserve">its LIBOR Linked Portfolio </w:t>
      </w:r>
      <w:r w:rsidR="00A82EA9">
        <w:t>that have the effect of immediately replacing LIBOR with an alternative rate (rather than a</w:t>
      </w:r>
      <w:r w:rsidR="0061349B">
        <w:t>t</w:t>
      </w:r>
      <w:r w:rsidR="00A82EA9">
        <w:t xml:space="preserve"> some point in the future</w:t>
      </w:r>
      <w:r w:rsidR="002F698B">
        <w:t>,</w:t>
      </w:r>
      <w:r w:rsidR="00510978">
        <w:t xml:space="preserve"> as w</w:t>
      </w:r>
      <w:r w:rsidR="002F698B">
        <w:t>ould be the case under</w:t>
      </w:r>
      <w:r w:rsidR="00510978">
        <w:t xml:space="preserve"> a fallback or future rate switch mechanism</w:t>
      </w:r>
      <w:r w:rsidR="00A82EA9">
        <w:t>).</w:t>
      </w:r>
    </w:p>
    <w:p w14:paraId="3AD206AB" w14:textId="77777777" w:rsidR="007A06A5" w:rsidRDefault="007A06A5" w:rsidP="007A06A5">
      <w:pPr>
        <w:pStyle w:val="NoSpacing"/>
      </w:pPr>
    </w:p>
    <w:p w14:paraId="28F5D3E2" w14:textId="77777777" w:rsidR="00300125" w:rsidRDefault="00300125" w:rsidP="007A06A5">
      <w:pPr>
        <w:pStyle w:val="NoSpacing"/>
      </w:pPr>
    </w:p>
    <w:p w14:paraId="6B07E250" w14:textId="55080F29" w:rsidR="007A06A5" w:rsidRPr="00CE7A60" w:rsidRDefault="00CE7A60" w:rsidP="007A06A5">
      <w:pPr>
        <w:pStyle w:val="NoSpacing"/>
        <w:rPr>
          <w:b/>
        </w:rPr>
      </w:pPr>
      <w:r>
        <w:rPr>
          <w:b/>
        </w:rPr>
        <w:t xml:space="preserve">Q4: What is the due diligence </w:t>
      </w:r>
      <w:r w:rsidR="00760DA5">
        <w:rPr>
          <w:b/>
        </w:rPr>
        <w:t>exercise</w:t>
      </w:r>
      <w:r>
        <w:rPr>
          <w:b/>
        </w:rPr>
        <w:t xml:space="preserve"> that needs to be completed for a LIBOR Linked Loan Portfolio in order for the Bank to consider removing the LIBOR linked haircut </w:t>
      </w:r>
      <w:r w:rsidR="00235A10">
        <w:rPr>
          <w:b/>
        </w:rPr>
        <w:t xml:space="preserve">add-on </w:t>
      </w:r>
      <w:r>
        <w:rPr>
          <w:b/>
        </w:rPr>
        <w:t>applied since 1 April 202</w:t>
      </w:r>
      <w:r w:rsidR="00016562">
        <w:rPr>
          <w:b/>
        </w:rPr>
        <w:t>1</w:t>
      </w:r>
      <w:r>
        <w:rPr>
          <w:b/>
        </w:rPr>
        <w:t>?</w:t>
      </w:r>
    </w:p>
    <w:p w14:paraId="14F8B5FF" w14:textId="7C1F83F9" w:rsidR="00CE7A60" w:rsidRPr="00CE7A60" w:rsidRDefault="00CE7A60" w:rsidP="007A06A5">
      <w:pPr>
        <w:pStyle w:val="NoSpacing"/>
        <w:rPr>
          <w:sz w:val="12"/>
        </w:rPr>
      </w:pPr>
    </w:p>
    <w:p w14:paraId="35599967" w14:textId="588BB500" w:rsidR="007158C2" w:rsidRDefault="007158C2" w:rsidP="007A06A5">
      <w:pPr>
        <w:pStyle w:val="NoSpacing"/>
      </w:pPr>
      <w:r>
        <w:t xml:space="preserve">The due diligence process is a legal review of the fallback or future rate </w:t>
      </w:r>
      <w:r w:rsidR="00235A10">
        <w:t xml:space="preserve">switch </w:t>
      </w:r>
      <w:r>
        <w:t>mechanism, or upfront replacement of LIBOR with an alternative rate.</w:t>
      </w:r>
    </w:p>
    <w:p w14:paraId="634DAEFF" w14:textId="77777777" w:rsidR="007158C2" w:rsidRDefault="007158C2" w:rsidP="007A06A5">
      <w:pPr>
        <w:pStyle w:val="NoSpacing"/>
      </w:pPr>
    </w:p>
    <w:p w14:paraId="1EFD5462" w14:textId="61C8E5FF" w:rsidR="007158C2" w:rsidRDefault="007158C2" w:rsidP="007A06A5">
      <w:pPr>
        <w:pStyle w:val="NoSpacing"/>
      </w:pPr>
      <w:r>
        <w:t>As with legal reviews conducted ahead of prepositioning a loan pool with the Bank</w:t>
      </w:r>
      <w:r w:rsidR="00F71A9B">
        <w:rPr>
          <w:rStyle w:val="FootnoteReference"/>
        </w:rPr>
        <w:footnoteReference w:id="1"/>
      </w:r>
      <w:r>
        <w:t>, this legal review process has four main stages.</w:t>
      </w:r>
    </w:p>
    <w:p w14:paraId="6016ED81" w14:textId="1BE0ED53" w:rsidR="00CE7A60" w:rsidRDefault="007158C2" w:rsidP="007158C2">
      <w:pPr>
        <w:pStyle w:val="NoSpacing"/>
        <w:jc w:val="center"/>
      </w:pPr>
      <w:r>
        <w:rPr>
          <w:noProof/>
          <w:lang w:eastAsia="en-GB"/>
        </w:rPr>
        <w:drawing>
          <wp:inline distT="0" distB="0" distL="0" distR="0" wp14:anchorId="1BEE4732" wp14:editId="3C4376DC">
            <wp:extent cx="5206849" cy="12776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17483" cy="1280218"/>
                    </a:xfrm>
                    <a:prstGeom prst="rect">
                      <a:avLst/>
                    </a:prstGeom>
                    <a:noFill/>
                    <a:ln>
                      <a:noFill/>
                    </a:ln>
                  </pic:spPr>
                </pic:pic>
              </a:graphicData>
            </a:graphic>
          </wp:inline>
        </w:drawing>
      </w:r>
    </w:p>
    <w:p w14:paraId="2B69E6C0" w14:textId="3C9A008B" w:rsidR="00CE7A60" w:rsidRDefault="00CE7A60" w:rsidP="007A06A5">
      <w:pPr>
        <w:pStyle w:val="NoSpacing"/>
      </w:pPr>
    </w:p>
    <w:p w14:paraId="05822F06" w14:textId="5BE2E270" w:rsidR="00CE7A60" w:rsidRDefault="007F6A8C" w:rsidP="007A06A5">
      <w:pPr>
        <w:pStyle w:val="NoSpacing"/>
        <w:rPr>
          <w:u w:val="single"/>
        </w:rPr>
      </w:pPr>
      <w:r>
        <w:rPr>
          <w:u w:val="single"/>
        </w:rPr>
        <w:t xml:space="preserve">Stage 1: Participant’s </w:t>
      </w:r>
      <w:r w:rsidR="001258B3">
        <w:rPr>
          <w:u w:val="single"/>
        </w:rPr>
        <w:t>l</w:t>
      </w:r>
      <w:r>
        <w:rPr>
          <w:u w:val="single"/>
        </w:rPr>
        <w:t xml:space="preserve">egal </w:t>
      </w:r>
      <w:r w:rsidR="001258B3">
        <w:rPr>
          <w:u w:val="single"/>
        </w:rPr>
        <w:t>c</w:t>
      </w:r>
      <w:r>
        <w:rPr>
          <w:u w:val="single"/>
        </w:rPr>
        <w:t>ounsel</w:t>
      </w:r>
    </w:p>
    <w:p w14:paraId="4E5C3D4A" w14:textId="5A3D7A7D" w:rsidR="007F6A8C" w:rsidRDefault="007F6A8C" w:rsidP="007F6A8C">
      <w:pPr>
        <w:pStyle w:val="NoSpacing"/>
      </w:pPr>
      <w:r>
        <w:t>Participants appoint external legal counsel to complete a legal due diligence questionnaire</w:t>
      </w:r>
      <w:r w:rsidR="00E05C05">
        <w:t xml:space="preserve"> </w:t>
      </w:r>
      <w:r>
        <w:t>for LIBOR Linked Loan Portfolios</w:t>
      </w:r>
      <w:r w:rsidR="00E05C05">
        <w:t xml:space="preserve">, </w:t>
      </w:r>
      <w:r>
        <w:t>which is available on the Bank’s website</w:t>
      </w:r>
      <w:r>
        <w:rPr>
          <w:rStyle w:val="FootnoteReference"/>
        </w:rPr>
        <w:footnoteReference w:id="2"/>
      </w:r>
      <w:r w:rsidR="00E05C05">
        <w:t>, and, in certain circumstances, to provide a legal opinion</w:t>
      </w:r>
      <w:r>
        <w:t>.</w:t>
      </w:r>
      <w:r w:rsidR="003D06DA">
        <w:t xml:space="preserve"> </w:t>
      </w:r>
      <w:r w:rsidR="00202AC0">
        <w:t>Participants will also be required to provide a rate change attestation, a form of which is included in the legal due diligence questionnaire.</w:t>
      </w:r>
    </w:p>
    <w:p w14:paraId="25E67DBD" w14:textId="77777777" w:rsidR="007F6A8C" w:rsidRPr="007F6A8C" w:rsidRDefault="007F6A8C" w:rsidP="007A06A5">
      <w:pPr>
        <w:pStyle w:val="NoSpacing"/>
      </w:pPr>
    </w:p>
    <w:p w14:paraId="162C3C69" w14:textId="095BA7BD" w:rsidR="00A069F8" w:rsidRDefault="007474B4" w:rsidP="00A069F8">
      <w:pPr>
        <w:pStyle w:val="NoSpacing"/>
      </w:pPr>
      <w:r>
        <w:t xml:space="preserve">The Bank does not specify which legal </w:t>
      </w:r>
      <w:r w:rsidR="00A069F8">
        <w:t xml:space="preserve">firm should be used by participants. </w:t>
      </w:r>
      <w:r w:rsidR="002F1CE0">
        <w:t>The Bank</w:t>
      </w:r>
      <w:r w:rsidR="00A069F8">
        <w:t xml:space="preserve"> should, however, be notified of the legal firm that the participant </w:t>
      </w:r>
      <w:r w:rsidR="00704AF1">
        <w:t>has engaged</w:t>
      </w:r>
      <w:r w:rsidR="00A069F8">
        <w:t xml:space="preserve">. </w:t>
      </w:r>
      <w:r w:rsidR="00385711" w:rsidRPr="00385711">
        <w:t xml:space="preserve">If the participant has a LIBOR Linked Loan Portfolio that includes LIBOR Linked Loans governed by the laws of Northern Ireland or Scotland, Northern Irish or Scottish counsel (as applicable) should be engaged. In addition, </w:t>
      </w:r>
      <w:r w:rsidR="00385711" w:rsidRPr="00385711">
        <w:lastRenderedPageBreak/>
        <w:t>participants should ensure that their external counsel complete a separate due diligence quest</w:t>
      </w:r>
      <w:r w:rsidR="00385711">
        <w:t>ionnaire for each governing law.</w:t>
      </w:r>
    </w:p>
    <w:p w14:paraId="020E3F09" w14:textId="77777777" w:rsidR="00A069F8" w:rsidRDefault="00A069F8" w:rsidP="00A069F8">
      <w:pPr>
        <w:pStyle w:val="NoSpacing"/>
      </w:pPr>
    </w:p>
    <w:p w14:paraId="73B22E3E" w14:textId="3CCD689B" w:rsidR="007474B4" w:rsidRDefault="001258B3" w:rsidP="007A06A5">
      <w:pPr>
        <w:pStyle w:val="NoSpacing"/>
      </w:pPr>
      <w:r>
        <w:t xml:space="preserve">As part of </w:t>
      </w:r>
      <w:r w:rsidR="00A03C50">
        <w:t xml:space="preserve">the legal due diligence </w:t>
      </w:r>
      <w:r w:rsidR="00AE6980">
        <w:t>process</w:t>
      </w:r>
      <w:r w:rsidR="00AC28E4">
        <w:t xml:space="preserve">, where the </w:t>
      </w:r>
      <w:r w:rsidR="002F3CE7">
        <w:t xml:space="preserve">LIBOR Linked </w:t>
      </w:r>
      <w:r w:rsidR="00AC28E4">
        <w:t>Loans within a LIBOR Linked Loan Portfolio</w:t>
      </w:r>
      <w:r w:rsidR="00AC28E4" w:rsidDel="00AE6980">
        <w:t xml:space="preserve"> </w:t>
      </w:r>
      <w:r w:rsidR="00AC28E4">
        <w:t xml:space="preserve">are subject to standard loan documentation </w:t>
      </w:r>
      <w:r w:rsidR="000E64D5">
        <w:t>(</w:t>
      </w:r>
      <w:proofErr w:type="spellStart"/>
      <w:r w:rsidR="000E64D5">
        <w:t>eg</w:t>
      </w:r>
      <w:proofErr w:type="spellEnd"/>
      <w:r w:rsidR="000E64D5">
        <w:t xml:space="preserve"> </w:t>
      </w:r>
      <w:r w:rsidR="007907C9">
        <w:t xml:space="preserve">for </w:t>
      </w:r>
      <w:r w:rsidR="000E64D5">
        <w:t>asset finance</w:t>
      </w:r>
      <w:r w:rsidR="007907C9">
        <w:t xml:space="preserve">, </w:t>
      </w:r>
      <w:r w:rsidR="000E64D5">
        <w:t>residential mortgage</w:t>
      </w:r>
      <w:r w:rsidR="002F1CE0">
        <w:t>s</w:t>
      </w:r>
      <w:r w:rsidR="007907C9">
        <w:t>,</w:t>
      </w:r>
      <w:r w:rsidR="000E64D5">
        <w:t xml:space="preserve"> and consumer loans) </w:t>
      </w:r>
      <w:r w:rsidR="00AC28E4">
        <w:t>and the participant has taken the same approach with respect to updating such standard loan documentation</w:t>
      </w:r>
      <w:r w:rsidR="00A03C50">
        <w:t xml:space="preserve">, </w:t>
      </w:r>
      <w:r w:rsidR="00E471B8">
        <w:t>the participant’s legal counsel will be required to review a sample of</w:t>
      </w:r>
      <w:r w:rsidR="000E64D5">
        <w:t xml:space="preserve"> the</w:t>
      </w:r>
      <w:r w:rsidR="00E471B8">
        <w:t xml:space="preserve"> LIBOR Linked Loans</w:t>
      </w:r>
      <w:r w:rsidR="00AE6980">
        <w:t xml:space="preserve"> </w:t>
      </w:r>
      <w:r w:rsidR="00E471B8">
        <w:t>in the LIBOR Linked Loan Portfolio. The Bank will inform participants of the number of loans to be sampled. The sample should be selected randomly by the participant’s counsel (</w:t>
      </w:r>
      <w:proofErr w:type="spellStart"/>
      <w:r w:rsidR="00E471B8">
        <w:t>ie</w:t>
      </w:r>
      <w:proofErr w:type="spellEnd"/>
      <w:r w:rsidR="00E471B8">
        <w:t xml:space="preserve"> it is not to be selected by the participant). The Bank may also </w:t>
      </w:r>
      <w:r w:rsidR="00DD699F">
        <w:t xml:space="preserve">require </w:t>
      </w:r>
      <w:r w:rsidR="00E471B8">
        <w:t xml:space="preserve">that the sample is divided into homogenous groups (for example, to ensure all asset types, such as </w:t>
      </w:r>
      <w:r w:rsidR="000E64D5">
        <w:t>owner occupied and Buy-to-Let</w:t>
      </w:r>
      <w:r w:rsidR="00E471B8">
        <w:t>, are adequately represented in the sample).</w:t>
      </w:r>
    </w:p>
    <w:p w14:paraId="73FB430D" w14:textId="5C28A70D" w:rsidR="00E471B8" w:rsidRDefault="00E471B8" w:rsidP="007A06A5">
      <w:pPr>
        <w:pStyle w:val="NoSpacing"/>
      </w:pPr>
    </w:p>
    <w:p w14:paraId="20A09778" w14:textId="73812399" w:rsidR="003D06DA" w:rsidRDefault="00E471B8" w:rsidP="007A06A5">
      <w:pPr>
        <w:pStyle w:val="NoSpacing"/>
      </w:pPr>
      <w:r>
        <w:t xml:space="preserve">The documentation for the sample loans </w:t>
      </w:r>
      <w:r w:rsidR="002F3CE7">
        <w:t xml:space="preserve">should </w:t>
      </w:r>
      <w:r>
        <w:t>be reviewed</w:t>
      </w:r>
      <w:r w:rsidR="00202AC0">
        <w:t xml:space="preserve"> by </w:t>
      </w:r>
      <w:r w:rsidR="00DD699F">
        <w:t xml:space="preserve">the </w:t>
      </w:r>
      <w:r w:rsidR="00202AC0">
        <w:t>participant’s legal counsel</w:t>
      </w:r>
      <w:r>
        <w:t xml:space="preserve"> to confirm </w:t>
      </w:r>
      <w:r w:rsidR="003604D8">
        <w:t xml:space="preserve">that the </w:t>
      </w:r>
      <w:r w:rsidR="003D06DA">
        <w:t>relevant fallback or future rate</w:t>
      </w:r>
      <w:r w:rsidR="00E23DCA">
        <w:t xml:space="preserve"> switch</w:t>
      </w:r>
      <w:r w:rsidR="003D06DA">
        <w:t xml:space="preserve"> mechanism, or upfront replacement of LIBOR with an alternative rate, conforms to the transition mechanism described in the legal due diligence questionnaire.</w:t>
      </w:r>
    </w:p>
    <w:p w14:paraId="5E04F511" w14:textId="77777777" w:rsidR="003D06DA" w:rsidRDefault="003D06DA" w:rsidP="007A06A5">
      <w:pPr>
        <w:pStyle w:val="NoSpacing"/>
      </w:pPr>
    </w:p>
    <w:p w14:paraId="3500FE27" w14:textId="4F430C58" w:rsidR="007474B4" w:rsidRDefault="003D06DA" w:rsidP="007A06A5">
      <w:pPr>
        <w:pStyle w:val="NoSpacing"/>
      </w:pPr>
      <w:r>
        <w:t>For portfolios containing loans with bespoke documentation (</w:t>
      </w:r>
      <w:proofErr w:type="spellStart"/>
      <w:r>
        <w:t>eg</w:t>
      </w:r>
      <w:proofErr w:type="spellEnd"/>
      <w:r>
        <w:t xml:space="preserve"> for larger corporate, PFI, social housing or commercial real estate</w:t>
      </w:r>
      <w:r w:rsidR="007907C9">
        <w:t xml:space="preserve"> loans</w:t>
      </w:r>
      <w:r>
        <w:t>)</w:t>
      </w:r>
      <w:r w:rsidR="007907C9">
        <w:t xml:space="preserve">, </w:t>
      </w:r>
      <w:r w:rsidR="00AC28E4">
        <w:t xml:space="preserve">the participant’s legal counsel will be required to review all loans within the </w:t>
      </w:r>
      <w:r w:rsidR="007907C9">
        <w:t>portfolio.</w:t>
      </w:r>
    </w:p>
    <w:p w14:paraId="2882122C" w14:textId="77777777" w:rsidR="007A06A5" w:rsidRDefault="007A06A5" w:rsidP="007A06A5">
      <w:pPr>
        <w:pStyle w:val="NoSpacing"/>
      </w:pPr>
    </w:p>
    <w:p w14:paraId="1CAD3671" w14:textId="42F0C42A" w:rsidR="001258B3" w:rsidRDefault="001258B3" w:rsidP="001258B3">
      <w:pPr>
        <w:pStyle w:val="NoSpacing"/>
        <w:rPr>
          <w:u w:val="single"/>
        </w:rPr>
      </w:pPr>
      <w:r>
        <w:rPr>
          <w:u w:val="single"/>
        </w:rPr>
        <w:t>Stage 2: The Bank’s external legal counsel</w:t>
      </w:r>
    </w:p>
    <w:p w14:paraId="68F93CB5" w14:textId="2DA5E378" w:rsidR="00CE7A60" w:rsidRDefault="001258B3" w:rsidP="007A06A5">
      <w:pPr>
        <w:pStyle w:val="NoSpacing"/>
      </w:pPr>
      <w:r>
        <w:t xml:space="preserve">The Bank’s external legal counsel will review the completed legal due diligence questionnaire for LIBOR Linked Loan Portfolios, and consider </w:t>
      </w:r>
      <w:r w:rsidR="008C64E2">
        <w:t>whether the relevant transition mechanism meets the required conditions</w:t>
      </w:r>
      <w:r>
        <w:t>. The Bank’s external counsel may have further questions or require clarific</w:t>
      </w:r>
      <w:r w:rsidR="007907C9">
        <w:t>ations on certain legal points.</w:t>
      </w:r>
    </w:p>
    <w:p w14:paraId="1C3BA01F" w14:textId="367A83E7" w:rsidR="00CE7A60" w:rsidRDefault="00CE7A60" w:rsidP="007A06A5">
      <w:pPr>
        <w:pStyle w:val="NoSpacing"/>
      </w:pPr>
    </w:p>
    <w:p w14:paraId="15230911" w14:textId="3880113B" w:rsidR="00CE7A60" w:rsidRDefault="001258B3" w:rsidP="007A06A5">
      <w:pPr>
        <w:pStyle w:val="NoSpacing"/>
      </w:pPr>
      <w:r>
        <w:t xml:space="preserve">In line with </w:t>
      </w:r>
      <w:r w:rsidRPr="001258B3">
        <w:t>the SMF’s general terms and conditions, any costs, including legal costs, incurred by the Bank in relation to such due diligence process will be charged back to the SMF participant.</w:t>
      </w:r>
    </w:p>
    <w:p w14:paraId="19AD081C" w14:textId="1E1CDA63" w:rsidR="003D06DA" w:rsidRDefault="003D06DA" w:rsidP="007A06A5">
      <w:pPr>
        <w:pStyle w:val="NoSpacing"/>
      </w:pPr>
    </w:p>
    <w:p w14:paraId="337B9FCC" w14:textId="5493536D" w:rsidR="001258B3" w:rsidRDefault="001258B3" w:rsidP="001258B3">
      <w:pPr>
        <w:pStyle w:val="NoSpacing"/>
        <w:rPr>
          <w:u w:val="single"/>
        </w:rPr>
      </w:pPr>
      <w:r>
        <w:rPr>
          <w:u w:val="single"/>
        </w:rPr>
        <w:t>Stage 3: The Bank’s internal legal team</w:t>
      </w:r>
    </w:p>
    <w:p w14:paraId="53F2D4FE" w14:textId="4754D097" w:rsidR="003D06DA" w:rsidRDefault="009824B2" w:rsidP="007A06A5">
      <w:pPr>
        <w:pStyle w:val="NoSpacing"/>
      </w:pPr>
      <w:r>
        <w:t xml:space="preserve">The Bank’s internal lawyers review the analysis conducted by its external counsel and </w:t>
      </w:r>
      <w:r w:rsidR="00E11582">
        <w:t>share</w:t>
      </w:r>
      <w:r>
        <w:t xml:space="preserve"> the findings </w:t>
      </w:r>
      <w:r w:rsidR="00E11582">
        <w:t>with</w:t>
      </w:r>
      <w:r>
        <w:t xml:space="preserve"> the Bank’s collateral team. Additional clarifications and queries are passed back to the Bank’s external counsel to answer. This may require input from the participant or its lawyers.</w:t>
      </w:r>
    </w:p>
    <w:p w14:paraId="784C8DAF" w14:textId="77777777" w:rsidR="00E23DCA" w:rsidRDefault="00E23DCA" w:rsidP="00E23DCA">
      <w:pPr>
        <w:pStyle w:val="NoSpacing"/>
        <w:rPr>
          <w:u w:val="single"/>
        </w:rPr>
      </w:pPr>
    </w:p>
    <w:p w14:paraId="0D17BBAB" w14:textId="373881D1" w:rsidR="00E23DCA" w:rsidRDefault="00E23DCA" w:rsidP="00E23DCA">
      <w:pPr>
        <w:pStyle w:val="NoSpacing"/>
        <w:rPr>
          <w:u w:val="single"/>
        </w:rPr>
      </w:pPr>
      <w:r>
        <w:rPr>
          <w:u w:val="single"/>
        </w:rPr>
        <w:t>Stage 4: The Bank’s collateral team</w:t>
      </w:r>
    </w:p>
    <w:p w14:paraId="6B901B0F" w14:textId="23DD70FF" w:rsidR="00EE5CF9" w:rsidRDefault="00E23DCA" w:rsidP="007A06A5">
      <w:pPr>
        <w:pStyle w:val="NoSpacing"/>
      </w:pPr>
      <w:r>
        <w:t>The Bank’s collateral te</w:t>
      </w:r>
      <w:r w:rsidR="00760DA5">
        <w:t xml:space="preserve">am review the findings from the due diligence exercise. </w:t>
      </w:r>
      <w:r w:rsidR="008C157E">
        <w:t xml:space="preserve">The Bank </w:t>
      </w:r>
      <w:r w:rsidR="009C0D35">
        <w:t xml:space="preserve">reserves the right to waive </w:t>
      </w:r>
      <w:r w:rsidR="009C0639">
        <w:t xml:space="preserve">the LIBOR linked haircut add-ons </w:t>
      </w:r>
      <w:r w:rsidR="009362F4">
        <w:t xml:space="preserve">applicable </w:t>
      </w:r>
      <w:r w:rsidR="009C0639">
        <w:t xml:space="preserve">to LIBOR Linked Loan Portfolios where it is satisfied (in its sole discretion) that such </w:t>
      </w:r>
      <w:r w:rsidR="009362F4">
        <w:t xml:space="preserve">portfolios </w:t>
      </w:r>
      <w:r w:rsidR="009C0639">
        <w:t xml:space="preserve">benefits from a robust fallback or future rate switch mechanism that meets the conditions specified in the </w:t>
      </w:r>
      <w:r w:rsidR="009C0639" w:rsidRPr="00953EFE">
        <w:t>Market Notice</w:t>
      </w:r>
      <w:r w:rsidR="009C0D35">
        <w:t>. In addition, LIBOR linked haircut add-ons will cease to apply if the Bank is satisfied (in its sole discretion)</w:t>
      </w:r>
      <w:r w:rsidR="009C0639">
        <w:t xml:space="preserve"> that contractual amendments to effect an upfront replacement of LIBOR with an alternative rate have been implemented and are legally binding, enforceable and irrevocable.</w:t>
      </w:r>
      <w:r w:rsidR="00760DA5">
        <w:t xml:space="preserve"> </w:t>
      </w:r>
    </w:p>
    <w:p w14:paraId="74BD9D98" w14:textId="77777777" w:rsidR="00EE5CF9" w:rsidRDefault="00EE5CF9" w:rsidP="007A06A5">
      <w:pPr>
        <w:pStyle w:val="NoSpacing"/>
      </w:pPr>
    </w:p>
    <w:p w14:paraId="79AA30CF" w14:textId="20F9C6E6" w:rsidR="00760DA5" w:rsidRDefault="008C157E" w:rsidP="007A06A5">
      <w:pPr>
        <w:pStyle w:val="NoSpacing"/>
      </w:pPr>
      <w:r>
        <w:t>The</w:t>
      </w:r>
      <w:r w:rsidR="00B04BEB">
        <w:t xml:space="preserve"> Bank</w:t>
      </w:r>
      <w:r>
        <w:t>’s collateral team</w:t>
      </w:r>
      <w:r w:rsidR="00B04BEB">
        <w:t xml:space="preserve"> will inform the participant </w:t>
      </w:r>
      <w:r>
        <w:t xml:space="preserve">of the Bank’s decision, including whether </w:t>
      </w:r>
      <w:r w:rsidR="00B04BEB">
        <w:t xml:space="preserve">the LIBOR </w:t>
      </w:r>
      <w:r>
        <w:t xml:space="preserve">linked </w:t>
      </w:r>
      <w:r w:rsidR="00B04BEB">
        <w:t xml:space="preserve">haircut </w:t>
      </w:r>
      <w:r>
        <w:t xml:space="preserve">add-on </w:t>
      </w:r>
      <w:r w:rsidR="00B04BEB">
        <w:t>will remain in place.</w:t>
      </w:r>
    </w:p>
    <w:p w14:paraId="2950308F" w14:textId="0463B0F9" w:rsidR="005E4EE0" w:rsidRDefault="005E4EE0" w:rsidP="007A06A5">
      <w:pPr>
        <w:pStyle w:val="NoSpacing"/>
      </w:pPr>
    </w:p>
    <w:p w14:paraId="2E8C527E" w14:textId="77777777" w:rsidR="005E4EE0" w:rsidRPr="005E4EE0" w:rsidRDefault="005E4EE0" w:rsidP="00C3040C">
      <w:pPr>
        <w:pStyle w:val="NoSpacing"/>
      </w:pPr>
      <w:r w:rsidRPr="005E4EE0">
        <w:t xml:space="preserve">The Bank will determine in its sole discretion whether a transition mechanism meets the conditions for the removal of LIBOR linked haircut add-ons and may vary the due diligence process from the one described above. </w:t>
      </w:r>
    </w:p>
    <w:p w14:paraId="50FBE870" w14:textId="71347340" w:rsidR="00515B61" w:rsidRDefault="00EE5CF9" w:rsidP="00515B61">
      <w:pPr>
        <w:pStyle w:val="NoSpacing"/>
        <w:rPr>
          <w:b/>
        </w:rPr>
      </w:pPr>
      <w:r>
        <w:rPr>
          <w:b/>
        </w:rPr>
        <w:lastRenderedPageBreak/>
        <w:t xml:space="preserve">Q5: Will LIBOR </w:t>
      </w:r>
      <w:r w:rsidR="0040531C">
        <w:rPr>
          <w:b/>
        </w:rPr>
        <w:t xml:space="preserve">linked </w:t>
      </w:r>
      <w:r>
        <w:rPr>
          <w:b/>
        </w:rPr>
        <w:t>haircut add-ons be removed at the point</w:t>
      </w:r>
      <w:r w:rsidR="00515B61">
        <w:rPr>
          <w:b/>
        </w:rPr>
        <w:t xml:space="preserve"> contract</w:t>
      </w:r>
      <w:r w:rsidR="00626AB0">
        <w:rPr>
          <w:b/>
        </w:rPr>
        <w:t xml:space="preserve">ual </w:t>
      </w:r>
      <w:r w:rsidR="00515B61">
        <w:rPr>
          <w:b/>
        </w:rPr>
        <w:t>amend</w:t>
      </w:r>
      <w:r w:rsidR="00626AB0">
        <w:rPr>
          <w:b/>
        </w:rPr>
        <w:t>ments are made</w:t>
      </w:r>
      <w:r w:rsidR="00515B61">
        <w:rPr>
          <w:b/>
        </w:rPr>
        <w:t xml:space="preserve"> to introduce a fallback or future rate switch mechanism, or </w:t>
      </w:r>
      <w:r w:rsidR="00626AB0">
        <w:rPr>
          <w:b/>
        </w:rPr>
        <w:t xml:space="preserve">to effect </w:t>
      </w:r>
      <w:r w:rsidR="00515B61">
        <w:rPr>
          <w:b/>
        </w:rPr>
        <w:t>an upfront replacement of LIBOR with an alternative rate?</w:t>
      </w:r>
    </w:p>
    <w:p w14:paraId="13FA5307" w14:textId="28F819A0" w:rsidR="00EE5CF9" w:rsidRPr="00515B61" w:rsidRDefault="00EE5CF9" w:rsidP="007A06A5">
      <w:pPr>
        <w:pStyle w:val="NoSpacing"/>
        <w:rPr>
          <w:sz w:val="12"/>
        </w:rPr>
      </w:pPr>
    </w:p>
    <w:p w14:paraId="6BC218E8" w14:textId="6E5AD368" w:rsidR="00515B61" w:rsidRDefault="00EE5CF9" w:rsidP="007A06A5">
      <w:pPr>
        <w:pStyle w:val="NoSpacing"/>
      </w:pPr>
      <w:r>
        <w:t xml:space="preserve">No. </w:t>
      </w:r>
      <w:r w:rsidR="00BD7249">
        <w:t>LIBOR</w:t>
      </w:r>
      <w:r w:rsidR="0040531C">
        <w:t xml:space="preserve"> linked</w:t>
      </w:r>
      <w:r w:rsidR="00BD7249">
        <w:t xml:space="preserve"> h</w:t>
      </w:r>
      <w:r>
        <w:t>aircut add-ons will remain in place for LIBOR Linked Loan Portfolios until</w:t>
      </w:r>
      <w:r w:rsidR="00231A48">
        <w:t>, following its review of the participant’s</w:t>
      </w:r>
      <w:r>
        <w:t xml:space="preserve"> due diligence</w:t>
      </w:r>
      <w:r w:rsidR="00231A48">
        <w:t>,</w:t>
      </w:r>
      <w:r>
        <w:t xml:space="preserve"> </w:t>
      </w:r>
      <w:r w:rsidR="00231A48">
        <w:t>th</w:t>
      </w:r>
      <w:r w:rsidR="00BD7249">
        <w:t>e Bank</w:t>
      </w:r>
      <w:r w:rsidR="003D2610">
        <w:t>’s collateral team informs the participant that the Bank</w:t>
      </w:r>
      <w:r w:rsidR="00524479">
        <w:t xml:space="preserve"> </w:t>
      </w:r>
      <w:r w:rsidR="00BD7249">
        <w:t xml:space="preserve">is </w:t>
      </w:r>
      <w:r>
        <w:t xml:space="preserve">satisfied </w:t>
      </w:r>
      <w:r w:rsidR="00515B61">
        <w:t xml:space="preserve">with </w:t>
      </w:r>
      <w:r w:rsidR="00E9653B">
        <w:t xml:space="preserve">removing </w:t>
      </w:r>
      <w:r w:rsidR="003D2610">
        <w:t xml:space="preserve">the application of LIBOR </w:t>
      </w:r>
      <w:r w:rsidR="0040531C">
        <w:t xml:space="preserve">linked </w:t>
      </w:r>
      <w:r w:rsidR="003D2610">
        <w:t>haircut add-ons</w:t>
      </w:r>
      <w:r w:rsidR="00515B61">
        <w:t>.</w:t>
      </w:r>
    </w:p>
    <w:p w14:paraId="7D55684A" w14:textId="77777777" w:rsidR="00515B61" w:rsidRDefault="00515B61" w:rsidP="007A06A5">
      <w:pPr>
        <w:pStyle w:val="NoSpacing"/>
      </w:pPr>
    </w:p>
    <w:p w14:paraId="6ECD6AE3" w14:textId="33CABB1E" w:rsidR="007A06A5" w:rsidRDefault="007A06A5" w:rsidP="007A06A5">
      <w:pPr>
        <w:pStyle w:val="NoSpacing"/>
      </w:pPr>
    </w:p>
    <w:p w14:paraId="6B10FE4E" w14:textId="330C2E52" w:rsidR="00515B61" w:rsidRDefault="00231A48" w:rsidP="00515B61">
      <w:pPr>
        <w:pStyle w:val="NoSpacing"/>
        <w:rPr>
          <w:b/>
        </w:rPr>
      </w:pPr>
      <w:r>
        <w:rPr>
          <w:b/>
        </w:rPr>
        <w:t>Q6: Can the due diligence process commence prior to</w:t>
      </w:r>
      <w:r w:rsidR="00515B61">
        <w:rPr>
          <w:b/>
        </w:rPr>
        <w:t xml:space="preserve"> </w:t>
      </w:r>
      <w:r w:rsidR="00073412">
        <w:rPr>
          <w:b/>
        </w:rPr>
        <w:t xml:space="preserve">contractual amendments being made </w:t>
      </w:r>
      <w:r w:rsidR="00515B61">
        <w:rPr>
          <w:b/>
        </w:rPr>
        <w:t xml:space="preserve">to introduce a fallback or future rate switch mechanism, or to </w:t>
      </w:r>
      <w:r w:rsidR="00073412">
        <w:rPr>
          <w:b/>
        </w:rPr>
        <w:t>effect an</w:t>
      </w:r>
      <w:r w:rsidR="00515B61">
        <w:rPr>
          <w:b/>
        </w:rPr>
        <w:t xml:space="preserve"> upfront replacement of LIBOR with an alternative rate?</w:t>
      </w:r>
    </w:p>
    <w:p w14:paraId="03794857" w14:textId="4F023A83" w:rsidR="00EE5CF9" w:rsidRPr="00882EB8" w:rsidRDefault="00EE5CF9" w:rsidP="007A06A5">
      <w:pPr>
        <w:pStyle w:val="NoSpacing"/>
        <w:rPr>
          <w:b/>
          <w:sz w:val="12"/>
        </w:rPr>
      </w:pPr>
    </w:p>
    <w:p w14:paraId="238BA602" w14:textId="7ED4E61B" w:rsidR="00515B61" w:rsidRPr="00515B61" w:rsidRDefault="003D2610" w:rsidP="007A06A5">
      <w:pPr>
        <w:pStyle w:val="NoSpacing"/>
      </w:pPr>
      <w:r>
        <w:t xml:space="preserve">No. </w:t>
      </w:r>
      <w:r w:rsidR="00DA31FF">
        <w:t>T</w:t>
      </w:r>
      <w:r>
        <w:t xml:space="preserve">he due diligence process </w:t>
      </w:r>
      <w:r w:rsidR="00C47ABA">
        <w:t>can</w:t>
      </w:r>
      <w:r w:rsidR="00DA31FF">
        <w:t xml:space="preserve"> </w:t>
      </w:r>
      <w:r w:rsidR="0035649A">
        <w:t xml:space="preserve">only </w:t>
      </w:r>
      <w:r w:rsidR="00DA31FF">
        <w:t>be initiated</w:t>
      </w:r>
      <w:r w:rsidR="006B07D6">
        <w:t xml:space="preserve"> </w:t>
      </w:r>
      <w:r w:rsidR="00C47ABA">
        <w:t>once</w:t>
      </w:r>
      <w:r w:rsidR="00E9653B">
        <w:t xml:space="preserve"> loan documentation has been amended to</w:t>
      </w:r>
      <w:r w:rsidR="00E9653B" w:rsidRPr="00E9653B">
        <w:rPr>
          <w:b/>
        </w:rPr>
        <w:t xml:space="preserve"> </w:t>
      </w:r>
      <w:r w:rsidR="00E9653B" w:rsidRPr="002060DF">
        <w:t xml:space="preserve">introduce a fallback or future rate switch mechanism, or to </w:t>
      </w:r>
      <w:r w:rsidR="00073412">
        <w:t>effect</w:t>
      </w:r>
      <w:r w:rsidR="00073412" w:rsidRPr="002060DF">
        <w:t xml:space="preserve"> </w:t>
      </w:r>
      <w:r w:rsidR="00E9653B" w:rsidRPr="002060DF">
        <w:t>an upfront replacement of LIBOR with an alternative rate.</w:t>
      </w:r>
      <w:r w:rsidR="002060DF">
        <w:t xml:space="preserve"> </w:t>
      </w:r>
      <w:r w:rsidR="00D94CF9">
        <w:t>However, p</w:t>
      </w:r>
      <w:r w:rsidR="00D94CF9" w:rsidRPr="00D94CF9">
        <w:t>articipants are encouraged to communicate and engage proactively with the Bank on their plans for managing any LIBOR Linked Collateral.</w:t>
      </w:r>
      <w:r>
        <w:t xml:space="preserve"> </w:t>
      </w:r>
    </w:p>
    <w:p w14:paraId="433AB865" w14:textId="77777777" w:rsidR="00EE5CF9" w:rsidRDefault="00EE5CF9" w:rsidP="007A06A5">
      <w:pPr>
        <w:pStyle w:val="NoSpacing"/>
      </w:pPr>
    </w:p>
    <w:p w14:paraId="598A761B" w14:textId="77777777" w:rsidR="007A06A5" w:rsidRDefault="007A06A5" w:rsidP="007A06A5">
      <w:pPr>
        <w:pStyle w:val="NoSpacing"/>
      </w:pPr>
    </w:p>
    <w:p w14:paraId="0053FF0A" w14:textId="77803AA1" w:rsidR="00B04BEB" w:rsidRDefault="00B04BEB" w:rsidP="00B04BEB">
      <w:pPr>
        <w:pStyle w:val="NoSpacing"/>
        <w:rPr>
          <w:b/>
        </w:rPr>
      </w:pPr>
      <w:r>
        <w:rPr>
          <w:b/>
        </w:rPr>
        <w:t xml:space="preserve">Q7: Where due diligence is </w:t>
      </w:r>
      <w:r w:rsidR="00D94CF9">
        <w:rPr>
          <w:b/>
        </w:rPr>
        <w:t xml:space="preserve">successfully </w:t>
      </w:r>
      <w:r>
        <w:rPr>
          <w:b/>
        </w:rPr>
        <w:t>completed on a fallback or future rate switch mechanism</w:t>
      </w:r>
      <w:r w:rsidR="00D94CF9">
        <w:rPr>
          <w:b/>
        </w:rPr>
        <w:t xml:space="preserve"> and the Bank has </w:t>
      </w:r>
      <w:r w:rsidR="00425D2C">
        <w:rPr>
          <w:b/>
        </w:rPr>
        <w:t>agreed to remove</w:t>
      </w:r>
      <w:r w:rsidR="00D94CF9">
        <w:rPr>
          <w:b/>
        </w:rPr>
        <w:t xml:space="preserve"> the LIBOR linked haircut add-ons</w:t>
      </w:r>
      <w:r>
        <w:rPr>
          <w:b/>
        </w:rPr>
        <w:t xml:space="preserve">, will further due diligence be required at </w:t>
      </w:r>
      <w:r w:rsidR="00D94CF9">
        <w:rPr>
          <w:b/>
        </w:rPr>
        <w:t>the point when the replacement of LIBOR with the alternative rate has taken place</w:t>
      </w:r>
      <w:r>
        <w:rPr>
          <w:b/>
        </w:rPr>
        <w:t xml:space="preserve"> </w:t>
      </w:r>
      <w:r w:rsidR="00D94CF9">
        <w:rPr>
          <w:b/>
        </w:rPr>
        <w:t xml:space="preserve">in order </w:t>
      </w:r>
      <w:r>
        <w:rPr>
          <w:b/>
        </w:rPr>
        <w:t>to confirm that the LIBOR Linked Loans in the LIBOR Linked Loan Portfolio transitioned as intended?</w:t>
      </w:r>
    </w:p>
    <w:p w14:paraId="4C33F4E8" w14:textId="0047395C" w:rsidR="00B04BEB" w:rsidRPr="00B04BEB" w:rsidRDefault="00B04BEB" w:rsidP="00B04BEB">
      <w:pPr>
        <w:pStyle w:val="NoSpacing"/>
        <w:rPr>
          <w:b/>
          <w:sz w:val="12"/>
        </w:rPr>
      </w:pPr>
    </w:p>
    <w:p w14:paraId="47702B87" w14:textId="1F2379D0" w:rsidR="00B04BEB" w:rsidRPr="00B04BEB" w:rsidRDefault="00D94CF9" w:rsidP="00B04BEB">
      <w:pPr>
        <w:pStyle w:val="NoSpacing"/>
      </w:pPr>
      <w:r>
        <w:t>No. However,</w:t>
      </w:r>
      <w:r w:rsidR="00425D2C">
        <w:t xml:space="preserve"> as</w:t>
      </w:r>
      <w:r w:rsidR="002275FE">
        <w:t xml:space="preserve"> set out</w:t>
      </w:r>
      <w:r w:rsidR="00425D2C">
        <w:t xml:space="preserve"> in the </w:t>
      </w:r>
      <w:r w:rsidR="00425D2C" w:rsidRPr="00953EFE">
        <w:t>Market Notice</w:t>
      </w:r>
      <w:r w:rsidR="00425D2C">
        <w:t>,</w:t>
      </w:r>
      <w:r>
        <w:t xml:space="preserve"> if</w:t>
      </w:r>
      <w:r w:rsidR="009A602E">
        <w:t>, after the Bank has confirmed to a participant that any of its LIBOR Linked Loan Portfolios will not be subject to the scheduled LIBOR linked haircut add-ons,</w:t>
      </w:r>
      <w:r>
        <w:t xml:space="preserve"> th</w:t>
      </w:r>
      <w:r w:rsidR="009A602E">
        <w:t>at</w:t>
      </w:r>
      <w:r>
        <w:t xml:space="preserve"> </w:t>
      </w:r>
      <w:r w:rsidRPr="00D94CF9">
        <w:t>participant becomes aware (</w:t>
      </w:r>
      <w:proofErr w:type="spellStart"/>
      <w:r w:rsidRPr="00D94CF9">
        <w:t>i</w:t>
      </w:r>
      <w:proofErr w:type="spellEnd"/>
      <w:r w:rsidRPr="00D94CF9">
        <w:t>) that the replacement of LIBOR with the alternative rate has not taken, or will not take, effect or has failed, or will fail, to work as intended, or (ii) of any claim or intimation of claim by any person, or arising from any dispute, in relation to such replacement of LIBOR with an alternative rate, the participant shall immediately notify the Bank. The Bank reserves the right to re-assess eligibility of any LIBOR Linked Collateral at any time</w:t>
      </w:r>
      <w:r w:rsidR="00D20C9E">
        <w:t xml:space="preserve"> and/or any </w:t>
      </w:r>
      <w:r w:rsidR="00604929">
        <w:t xml:space="preserve">removal </w:t>
      </w:r>
      <w:r w:rsidR="00D20C9E">
        <w:t>of the LIBOR linked haircut add-ons</w:t>
      </w:r>
      <w:r w:rsidRPr="00D94CF9">
        <w:t>.</w:t>
      </w:r>
    </w:p>
    <w:p w14:paraId="1282F085" w14:textId="0F30AC1C" w:rsidR="00B04BEB" w:rsidRDefault="00B04BEB" w:rsidP="00B04BEB">
      <w:pPr>
        <w:pStyle w:val="NoSpacing"/>
        <w:rPr>
          <w:b/>
        </w:rPr>
      </w:pPr>
    </w:p>
    <w:p w14:paraId="594778A6" w14:textId="25EC6747" w:rsidR="00B04BEB" w:rsidRDefault="00B04BEB" w:rsidP="001F26CA">
      <w:pPr>
        <w:pStyle w:val="NoSpacing"/>
        <w:rPr>
          <w:b/>
        </w:rPr>
      </w:pPr>
    </w:p>
    <w:p w14:paraId="7942C2A4" w14:textId="07FDF094" w:rsidR="00B04BEB" w:rsidRDefault="00B04BEB" w:rsidP="00A66CBE">
      <w:pPr>
        <w:pStyle w:val="NoSpacing"/>
        <w:rPr>
          <w:b/>
        </w:rPr>
      </w:pPr>
      <w:r>
        <w:rPr>
          <w:b/>
        </w:rPr>
        <w:t xml:space="preserve">Q8: Should SMF participants inform the Bank if </w:t>
      </w:r>
      <w:r w:rsidR="00270877">
        <w:rPr>
          <w:b/>
        </w:rPr>
        <w:t xml:space="preserve">the transition mechanism they </w:t>
      </w:r>
      <w:r w:rsidR="00670F44">
        <w:rPr>
          <w:b/>
        </w:rPr>
        <w:t xml:space="preserve">adopted </w:t>
      </w:r>
      <w:r w:rsidR="00270877">
        <w:rPr>
          <w:b/>
        </w:rPr>
        <w:t xml:space="preserve">is amended following </w:t>
      </w:r>
      <w:r>
        <w:rPr>
          <w:b/>
        </w:rPr>
        <w:t>completion of the due diligence process?</w:t>
      </w:r>
    </w:p>
    <w:p w14:paraId="0C3C8294" w14:textId="6D827F4E" w:rsidR="00A66CBE" w:rsidRPr="00A66CBE" w:rsidRDefault="00A66CBE" w:rsidP="00B75961">
      <w:pPr>
        <w:spacing w:after="0" w:line="240" w:lineRule="auto"/>
        <w:rPr>
          <w:sz w:val="12"/>
        </w:rPr>
      </w:pPr>
    </w:p>
    <w:p w14:paraId="7331B8C8" w14:textId="69079C5D" w:rsidR="00DB2B66" w:rsidRPr="00713FF9" w:rsidRDefault="003F30E0" w:rsidP="00DB2B66">
      <w:pPr>
        <w:spacing w:after="0" w:line="240" w:lineRule="auto"/>
        <w:rPr>
          <w:rFonts w:cstheme="minorHAnsi"/>
          <w:lang w:val="en"/>
        </w:rPr>
      </w:pPr>
      <w:r>
        <w:rPr>
          <w:rFonts w:cstheme="minorHAnsi"/>
          <w:lang w:val="en"/>
        </w:rPr>
        <w:t>As set out in the Market Notice, if</w:t>
      </w:r>
      <w:r w:rsidR="00DB2B66" w:rsidRPr="00251700">
        <w:rPr>
          <w:rFonts w:cstheme="minorHAnsi"/>
          <w:lang w:val="en"/>
        </w:rPr>
        <w:t xml:space="preserve">, after the Bank has confirmed to a participant that any of its LIBOR Linked </w:t>
      </w:r>
      <w:r w:rsidR="009A602E">
        <w:rPr>
          <w:rFonts w:cstheme="minorHAnsi"/>
          <w:lang w:val="en"/>
        </w:rPr>
        <w:t>Loan Portfolios</w:t>
      </w:r>
      <w:r w:rsidR="00DB2B66" w:rsidRPr="00251700">
        <w:rPr>
          <w:rFonts w:cstheme="minorHAnsi"/>
          <w:lang w:val="en"/>
        </w:rPr>
        <w:t xml:space="preserve"> will not be subject to the scheduled LIBOR linked haircut add-ons, that participant becomes aware (</w:t>
      </w:r>
      <w:proofErr w:type="spellStart"/>
      <w:r w:rsidR="00DB2B66" w:rsidRPr="00251700">
        <w:rPr>
          <w:rFonts w:cstheme="minorHAnsi"/>
          <w:lang w:val="en"/>
        </w:rPr>
        <w:t>i</w:t>
      </w:r>
      <w:proofErr w:type="spellEnd"/>
      <w:r w:rsidR="00DB2B66" w:rsidRPr="00251700">
        <w:rPr>
          <w:rFonts w:cstheme="minorHAnsi"/>
          <w:lang w:val="en"/>
        </w:rPr>
        <w:t xml:space="preserve">) that the replacement of LIBOR with the alternative rate has not taken, or will not take, effect or has failed, or will fail, to work as intended, or (ii) of any claim or intimation of claim by any person, or arising from any dispute, in relation to such replacement of LIBOR with an alternative rate, the participant shall immediately notify the Bank. </w:t>
      </w:r>
      <w:r>
        <w:rPr>
          <w:rFonts w:cstheme="minorHAnsi"/>
          <w:lang w:val="en"/>
        </w:rPr>
        <w:t>Therefore, a participant will need to notify the Bank of any amendment in the transition mechanism they adopt following completion of the due diligence process</w:t>
      </w:r>
      <w:r w:rsidR="006C7B5D">
        <w:rPr>
          <w:rFonts w:cstheme="minorHAnsi"/>
          <w:lang w:val="en"/>
        </w:rPr>
        <w:t xml:space="preserve"> if it has the effect referred to in (</w:t>
      </w:r>
      <w:proofErr w:type="spellStart"/>
      <w:r w:rsidR="006C7B5D">
        <w:rPr>
          <w:rFonts w:cstheme="minorHAnsi"/>
          <w:lang w:val="en"/>
        </w:rPr>
        <w:t>i</w:t>
      </w:r>
      <w:proofErr w:type="spellEnd"/>
      <w:r w:rsidR="006C7B5D">
        <w:rPr>
          <w:rFonts w:cstheme="minorHAnsi"/>
          <w:lang w:val="en"/>
        </w:rPr>
        <w:t>) or (ii) above.</w:t>
      </w:r>
      <w:r>
        <w:rPr>
          <w:rFonts w:cstheme="minorHAnsi"/>
          <w:lang w:val="en"/>
        </w:rPr>
        <w:t xml:space="preserve"> </w:t>
      </w:r>
      <w:r w:rsidR="00DB2B66" w:rsidRPr="00251700">
        <w:rPr>
          <w:rFonts w:cstheme="minorHAnsi"/>
          <w:lang w:val="en"/>
        </w:rPr>
        <w:t>The Bank reserves the right to re-assess eligibility of any LIBOR Linked Collateral at any time</w:t>
      </w:r>
      <w:r w:rsidR="00604929" w:rsidRPr="00604929">
        <w:t xml:space="preserve"> </w:t>
      </w:r>
      <w:r w:rsidR="00604929">
        <w:t>and/or any removal of the LIBOR linked haircut add-ons</w:t>
      </w:r>
      <w:r w:rsidR="00DB2B66" w:rsidRPr="00251700">
        <w:rPr>
          <w:rFonts w:cstheme="minorHAnsi"/>
          <w:lang w:val="en"/>
        </w:rPr>
        <w:t>.</w:t>
      </w:r>
      <w:r w:rsidR="00713FF9" w:rsidRPr="00196872">
        <w:rPr>
          <w:b/>
        </w:rPr>
        <w:t xml:space="preserve"> </w:t>
      </w:r>
    </w:p>
    <w:p w14:paraId="6C500C6A" w14:textId="757420C9" w:rsidR="00A66CBE" w:rsidRDefault="00A66CBE" w:rsidP="00B75961">
      <w:pPr>
        <w:spacing w:after="0" w:line="240" w:lineRule="auto"/>
      </w:pPr>
    </w:p>
    <w:p w14:paraId="031ABF73" w14:textId="77777777" w:rsidR="00882EB8" w:rsidRDefault="00882EB8" w:rsidP="00B75961">
      <w:pPr>
        <w:spacing w:after="0" w:line="240" w:lineRule="auto"/>
      </w:pPr>
    </w:p>
    <w:p w14:paraId="0417C805" w14:textId="7B5C9973" w:rsidR="00B75961" w:rsidRDefault="00B75961" w:rsidP="00A66CBE">
      <w:pPr>
        <w:spacing w:after="0" w:line="240" w:lineRule="auto"/>
        <w:rPr>
          <w:b/>
        </w:rPr>
      </w:pPr>
      <w:r>
        <w:rPr>
          <w:b/>
        </w:rPr>
        <w:t>Q9: Does the Bank consider any specific examples of industry recognised fallback or future rate switch language to meet its definition of robust?</w:t>
      </w:r>
    </w:p>
    <w:p w14:paraId="2A77C525" w14:textId="52BD4A82" w:rsidR="00B75961" w:rsidRPr="00B75961" w:rsidRDefault="00B75961" w:rsidP="00A66CBE">
      <w:pPr>
        <w:spacing w:after="0" w:line="240" w:lineRule="auto"/>
        <w:rPr>
          <w:b/>
          <w:sz w:val="12"/>
        </w:rPr>
      </w:pPr>
    </w:p>
    <w:p w14:paraId="42E02E86" w14:textId="342F5F24" w:rsidR="00B75961" w:rsidRPr="00B75961" w:rsidRDefault="00B75961" w:rsidP="00A66CBE">
      <w:pPr>
        <w:spacing w:after="0" w:line="240" w:lineRule="auto"/>
      </w:pPr>
      <w:r>
        <w:lastRenderedPageBreak/>
        <w:t xml:space="preserve">The Bank has not set out guidance on the appropriateness of any specific examples of fallback </w:t>
      </w:r>
      <w:r w:rsidR="001F26CA">
        <w:t xml:space="preserve">or future rate switch </w:t>
      </w:r>
      <w:r>
        <w:t>language. SMF participants will be expected to demonstrate</w:t>
      </w:r>
      <w:r w:rsidR="00C745E7">
        <w:t xml:space="preserve">, by completing the legal due diligence </w:t>
      </w:r>
      <w:r w:rsidR="001F26CA">
        <w:t>questionnaire, that</w:t>
      </w:r>
      <w:r>
        <w:t xml:space="preserve"> the language used in their contracts meets the </w:t>
      </w:r>
      <w:r w:rsidR="00D94CF9">
        <w:t xml:space="preserve">conditions </w:t>
      </w:r>
      <w:r>
        <w:t xml:space="preserve">set out </w:t>
      </w:r>
      <w:r w:rsidR="00670F44">
        <w:t>in the</w:t>
      </w:r>
      <w:r>
        <w:t xml:space="preserve"> </w:t>
      </w:r>
      <w:r w:rsidRPr="00953EFE">
        <w:t>Market Notice</w:t>
      </w:r>
      <w:r>
        <w:t>.</w:t>
      </w:r>
    </w:p>
    <w:p w14:paraId="4514BB42" w14:textId="7BE5FC36" w:rsidR="00B04BEB" w:rsidRDefault="00B04BEB" w:rsidP="00A66CBE">
      <w:pPr>
        <w:pStyle w:val="NoSpacing"/>
      </w:pPr>
    </w:p>
    <w:p w14:paraId="4109900A" w14:textId="26E7A32E" w:rsidR="00B75961" w:rsidRDefault="00B75961" w:rsidP="00A66CBE">
      <w:pPr>
        <w:pStyle w:val="NoSpacing"/>
      </w:pPr>
    </w:p>
    <w:p w14:paraId="46871794" w14:textId="1F1A40B2" w:rsidR="00B04BEB" w:rsidRDefault="00B75961" w:rsidP="00C656A6">
      <w:pPr>
        <w:pStyle w:val="NoSpacing"/>
        <w:rPr>
          <w:b/>
        </w:rPr>
      </w:pPr>
      <w:r>
        <w:rPr>
          <w:b/>
        </w:rPr>
        <w:t xml:space="preserve">Q10: </w:t>
      </w:r>
      <w:r w:rsidR="00D30B2A">
        <w:rPr>
          <w:b/>
        </w:rPr>
        <w:t>Has the Bank specified a particular alternative rate to use to replace LIBOR</w:t>
      </w:r>
      <w:r w:rsidR="00C40210">
        <w:rPr>
          <w:b/>
        </w:rPr>
        <w:t xml:space="preserve"> in eligible loans</w:t>
      </w:r>
      <w:r w:rsidR="00D30B2A">
        <w:rPr>
          <w:b/>
        </w:rPr>
        <w:t>?</w:t>
      </w:r>
      <w:r w:rsidR="00D30B2A" w:rsidDel="00D30B2A">
        <w:rPr>
          <w:b/>
        </w:rPr>
        <w:t xml:space="preserve"> </w:t>
      </w:r>
    </w:p>
    <w:p w14:paraId="4DB31FD3" w14:textId="6BD8B7AB" w:rsidR="00B75961" w:rsidRPr="00A66CBE" w:rsidRDefault="00B75961" w:rsidP="00C656A6">
      <w:pPr>
        <w:pStyle w:val="NoSpacing"/>
        <w:rPr>
          <w:b/>
          <w:sz w:val="12"/>
        </w:rPr>
      </w:pPr>
    </w:p>
    <w:p w14:paraId="52237A4B" w14:textId="317280ED" w:rsidR="00B75961" w:rsidRDefault="00B75961" w:rsidP="00C656A6">
      <w:pPr>
        <w:spacing w:after="0" w:line="240" w:lineRule="auto"/>
        <w:rPr>
          <w:rFonts w:ascii="Calibri" w:hAnsi="Calibri" w:cs="Calibri"/>
          <w:bCs/>
        </w:rPr>
      </w:pPr>
      <w:r>
        <w:rPr>
          <w:bCs/>
        </w:rPr>
        <w:t>The objective of the</w:t>
      </w:r>
      <w:r w:rsidR="00D30B2A">
        <w:rPr>
          <w:bCs/>
        </w:rPr>
        <w:t xml:space="preserve"> Bank’s risk management approach to collateral referencing LIBOR</w:t>
      </w:r>
      <w:r>
        <w:rPr>
          <w:bCs/>
        </w:rPr>
        <w:t xml:space="preserve"> is to support forward planning by both the Bank and SMF </w:t>
      </w:r>
      <w:r w:rsidR="00560B35">
        <w:rPr>
          <w:bCs/>
        </w:rPr>
        <w:t>participants</w:t>
      </w:r>
      <w:r>
        <w:rPr>
          <w:bCs/>
        </w:rPr>
        <w:t xml:space="preserve"> in the context of confirmed end dates for representative panel bank LIBOR, to ensure that borrowing capacity is maintained and that public money is appropriately protected against the risks of a disorderly LIBOR transition. </w:t>
      </w:r>
      <w:r w:rsidR="008C157E">
        <w:rPr>
          <w:bCs/>
        </w:rPr>
        <w:t xml:space="preserve">Consistent with its broader collateral eligibility policy, the Bank </w:t>
      </w:r>
      <w:r w:rsidR="00D30B2A">
        <w:rPr>
          <w:bCs/>
        </w:rPr>
        <w:t>has not specified a particular</w:t>
      </w:r>
      <w:r w:rsidR="008C157E">
        <w:rPr>
          <w:bCs/>
        </w:rPr>
        <w:t xml:space="preserve"> alternative rate </w:t>
      </w:r>
      <w:r w:rsidR="00670F44">
        <w:rPr>
          <w:bCs/>
        </w:rPr>
        <w:t xml:space="preserve">to </w:t>
      </w:r>
      <w:r w:rsidR="008C157E">
        <w:rPr>
          <w:bCs/>
        </w:rPr>
        <w:t>be used to replace LIBOR</w:t>
      </w:r>
      <w:r w:rsidR="00D30B2A">
        <w:rPr>
          <w:bCs/>
        </w:rPr>
        <w:t>,</w:t>
      </w:r>
      <w:r w:rsidR="008C157E">
        <w:rPr>
          <w:bCs/>
        </w:rPr>
        <w:t xml:space="preserve"> nor</w:t>
      </w:r>
      <w:r>
        <w:rPr>
          <w:bCs/>
        </w:rPr>
        <w:t xml:space="preserve"> specif</w:t>
      </w:r>
      <w:r w:rsidR="00D30B2A">
        <w:rPr>
          <w:bCs/>
        </w:rPr>
        <w:t>ied</w:t>
      </w:r>
      <w:r>
        <w:rPr>
          <w:bCs/>
        </w:rPr>
        <w:t xml:space="preserve"> conditions relating to the use of specific benchmarks</w:t>
      </w:r>
      <w:r w:rsidR="00D30B2A">
        <w:rPr>
          <w:bCs/>
        </w:rPr>
        <w:t>. Nonetheless</w:t>
      </w:r>
      <w:r>
        <w:rPr>
          <w:bCs/>
        </w:rPr>
        <w:t xml:space="preserve">, SMF participants may </w:t>
      </w:r>
      <w:r w:rsidR="00D30B2A">
        <w:rPr>
          <w:bCs/>
        </w:rPr>
        <w:t xml:space="preserve">need to take into account a range of other considerations, </w:t>
      </w:r>
      <w:r>
        <w:rPr>
          <w:bCs/>
        </w:rPr>
        <w:t>includ</w:t>
      </w:r>
      <w:r w:rsidR="00D30B2A">
        <w:rPr>
          <w:bCs/>
        </w:rPr>
        <w:t>ing (but not limited to)</w:t>
      </w:r>
      <w:r w:rsidR="00DF60D0">
        <w:rPr>
          <w:bCs/>
        </w:rPr>
        <w:t xml:space="preserve"> </w:t>
      </w:r>
      <w:r w:rsidR="00D30B2A">
        <w:rPr>
          <w:bCs/>
        </w:rPr>
        <w:t xml:space="preserve">the </w:t>
      </w:r>
      <w:hyperlink r:id="rId11" w:history="1">
        <w:r w:rsidR="00D30B2A" w:rsidRPr="003B4C9F">
          <w:rPr>
            <w:rStyle w:val="Hyperlink"/>
            <w:bCs/>
          </w:rPr>
          <w:t>guidelines</w:t>
        </w:r>
      </w:hyperlink>
      <w:r>
        <w:rPr>
          <w:bCs/>
        </w:rPr>
        <w:t xml:space="preserve"> </w:t>
      </w:r>
      <w:r w:rsidRPr="003B4C9F">
        <w:rPr>
          <w:bCs/>
        </w:rPr>
        <w:t>set out by the International Organizations of Securities Commissions (IOSCO)</w:t>
      </w:r>
      <w:r>
        <w:rPr>
          <w:bCs/>
        </w:rPr>
        <w:t xml:space="preserve"> and any obligations they may have under the</w:t>
      </w:r>
      <w:r w:rsidR="00670F44">
        <w:rPr>
          <w:bCs/>
        </w:rPr>
        <w:t xml:space="preserve"> UK</w:t>
      </w:r>
      <w:r>
        <w:rPr>
          <w:bCs/>
        </w:rPr>
        <w:t xml:space="preserve"> Benchmarks Regulation. </w:t>
      </w:r>
      <w:r w:rsidR="00DF60D0">
        <w:rPr>
          <w:bCs/>
        </w:rPr>
        <w:t>SMF participants may also wish to refer to the alternatives to LIBOR recommended by relevant market-led working groups (including SONIA as the Working Group on Sterling Risk-Free Reference Rates’ preferred alternative to GBP LIBOR).</w:t>
      </w:r>
    </w:p>
    <w:p w14:paraId="740B090A" w14:textId="185ADE8F" w:rsidR="00B75961" w:rsidRDefault="00B75961" w:rsidP="00C656A6">
      <w:pPr>
        <w:pStyle w:val="NoSpacing"/>
      </w:pPr>
    </w:p>
    <w:p w14:paraId="7118E445" w14:textId="77777777" w:rsidR="00775D41" w:rsidRPr="00C656A6" w:rsidRDefault="00775D41" w:rsidP="00C656A6">
      <w:pPr>
        <w:pStyle w:val="NoSpacing"/>
      </w:pPr>
    </w:p>
    <w:p w14:paraId="62169686" w14:textId="32E085EE" w:rsidR="002E3567" w:rsidRDefault="002E3567" w:rsidP="002E3567">
      <w:pPr>
        <w:pStyle w:val="NoSpacing"/>
        <w:rPr>
          <w:b/>
        </w:rPr>
      </w:pPr>
      <w:r w:rsidRPr="002E3567">
        <w:rPr>
          <w:b/>
        </w:rPr>
        <w:t xml:space="preserve">Q11 The due diligence questionnaires ask to confirm whether the relevant amendments and / or language used in the case of upfront replacement, fallback or future rate switch mechanism reflect the </w:t>
      </w:r>
      <w:r>
        <w:rPr>
          <w:b/>
        </w:rPr>
        <w:t>‘</w:t>
      </w:r>
      <w:r w:rsidRPr="002E3567">
        <w:rPr>
          <w:b/>
        </w:rPr>
        <w:t>applicable market conventions</w:t>
      </w:r>
      <w:r>
        <w:rPr>
          <w:b/>
        </w:rPr>
        <w:t>’</w:t>
      </w:r>
      <w:r w:rsidRPr="002E3567">
        <w:rPr>
          <w:b/>
        </w:rPr>
        <w:t xml:space="preserve">. Has the Bank identified which market conventions should be used </w:t>
      </w:r>
      <w:r>
        <w:rPr>
          <w:b/>
        </w:rPr>
        <w:t>in which instance</w:t>
      </w:r>
      <w:r w:rsidR="00C40210">
        <w:rPr>
          <w:b/>
        </w:rPr>
        <w:t xml:space="preserve"> in eligible loans referencing alternative rates such as SONIA</w:t>
      </w:r>
      <w:r w:rsidRPr="002E3567">
        <w:rPr>
          <w:b/>
        </w:rPr>
        <w:t>?</w:t>
      </w:r>
    </w:p>
    <w:p w14:paraId="507A14B9" w14:textId="77777777" w:rsidR="002E3567" w:rsidRPr="0066526D" w:rsidRDefault="002E3567" w:rsidP="002E3567">
      <w:pPr>
        <w:pStyle w:val="NoSpacing"/>
        <w:rPr>
          <w:sz w:val="12"/>
        </w:rPr>
      </w:pPr>
    </w:p>
    <w:p w14:paraId="29D1BE3A" w14:textId="6B3B27C8" w:rsidR="00705E34" w:rsidRPr="0066526D" w:rsidRDefault="00705E34" w:rsidP="0066526D">
      <w:pPr>
        <w:spacing w:after="0" w:line="240" w:lineRule="auto"/>
      </w:pPr>
      <w:r w:rsidRPr="0066526D">
        <w:t xml:space="preserve">No.  </w:t>
      </w:r>
      <w:r w:rsidR="0066526D">
        <w:t>A</w:t>
      </w:r>
      <w:r w:rsidRPr="0066526D">
        <w:t xml:space="preserve"> range of market conventions may be in use both across and within different product classes, consistent with the approach taken by the Working Group on Sterling Risk-Free Reference Rates.  SMF participants may wish to refer to the ‘SONIA Loan Market Conventions’ published by the Working Group in September 2020, which provides non-binding recommendations on conventions for use of compounded SONIA while recognising the potential for use o</w:t>
      </w:r>
      <w:bookmarkStart w:id="0" w:name="_GoBack"/>
      <w:bookmarkEnd w:id="0"/>
      <w:r w:rsidRPr="0066526D">
        <w:t>f alternative methodologies in certain cases and for market conventions to continue to evolve over time. In addition, SMF participants may wish to refer to the Working Group’s ‘Use Cases of Benchmark Rates: Compounded in Arrears, Term Rate and Further Alternatives’, published in January 2020.</w:t>
      </w:r>
    </w:p>
    <w:p w14:paraId="6A06A0FC" w14:textId="77777777" w:rsidR="00705E34" w:rsidRPr="002E3567" w:rsidRDefault="00705E34" w:rsidP="002E3567">
      <w:pPr>
        <w:spacing w:after="0" w:line="240" w:lineRule="auto"/>
        <w:rPr>
          <w:bCs/>
        </w:rPr>
      </w:pPr>
    </w:p>
    <w:p w14:paraId="4CF804E6" w14:textId="61E0D188" w:rsidR="00C656A6" w:rsidRPr="00C656A6" w:rsidRDefault="00C656A6" w:rsidP="00C656A6">
      <w:pPr>
        <w:pStyle w:val="NoSpacing"/>
      </w:pPr>
    </w:p>
    <w:p w14:paraId="08D3306B" w14:textId="7F5824BA" w:rsidR="00C656A6" w:rsidRDefault="00C656A6" w:rsidP="00C656A6">
      <w:pPr>
        <w:pStyle w:val="NoSpacing"/>
      </w:pPr>
      <w:r>
        <w:rPr>
          <w:b/>
        </w:rPr>
        <w:t>Q1</w:t>
      </w:r>
      <w:r w:rsidR="002E3567">
        <w:rPr>
          <w:b/>
        </w:rPr>
        <w:t>2</w:t>
      </w:r>
      <w:r>
        <w:rPr>
          <w:b/>
        </w:rPr>
        <w:t xml:space="preserve">: Will the Bank remove LIBOR linked haircut add-ons for transition mechanisms that rely on </w:t>
      </w:r>
      <w:r w:rsidR="00E05C05">
        <w:rPr>
          <w:b/>
        </w:rPr>
        <w:t xml:space="preserve">  any </w:t>
      </w:r>
      <w:r>
        <w:rPr>
          <w:b/>
        </w:rPr>
        <w:t>synthetic</w:t>
      </w:r>
      <w:r w:rsidR="00E05C05">
        <w:rPr>
          <w:b/>
        </w:rPr>
        <w:t xml:space="preserve"> form of</w:t>
      </w:r>
      <w:r>
        <w:rPr>
          <w:b/>
        </w:rPr>
        <w:t xml:space="preserve"> LIBOR</w:t>
      </w:r>
      <w:r w:rsidR="00E05C05">
        <w:rPr>
          <w:b/>
        </w:rPr>
        <w:t xml:space="preserve"> </w:t>
      </w:r>
      <w:r w:rsidR="00DD699F">
        <w:rPr>
          <w:b/>
        </w:rPr>
        <w:t xml:space="preserve">compelled by the </w:t>
      </w:r>
      <w:r w:rsidR="00E05C05">
        <w:rPr>
          <w:b/>
        </w:rPr>
        <w:t>FCA</w:t>
      </w:r>
      <w:r>
        <w:rPr>
          <w:b/>
        </w:rPr>
        <w:t>?</w:t>
      </w:r>
    </w:p>
    <w:p w14:paraId="78BE42F8" w14:textId="361C1370" w:rsidR="00C656A6" w:rsidRPr="00B468A5" w:rsidRDefault="00C656A6" w:rsidP="00C656A6">
      <w:pPr>
        <w:pStyle w:val="NoSpacing"/>
        <w:rPr>
          <w:sz w:val="12"/>
        </w:rPr>
      </w:pPr>
    </w:p>
    <w:p w14:paraId="0C2B9B49" w14:textId="7669D34A" w:rsidR="00345D5A" w:rsidRDefault="00C656A6" w:rsidP="0066526D">
      <w:pPr>
        <w:pStyle w:val="NoSpacing"/>
      </w:pPr>
      <w:r>
        <w:t xml:space="preserve">No. </w:t>
      </w:r>
      <w:r w:rsidR="00345D5A">
        <w:t>T</w:t>
      </w:r>
      <w:r>
        <w:t xml:space="preserve">he Bank </w:t>
      </w:r>
      <w:r w:rsidR="00345D5A">
        <w:t>will consider removing LIBOR linked haircut add-ons where it is satisfied with the transition mechanism applied</w:t>
      </w:r>
      <w:r w:rsidR="001F4DB0">
        <w:t xml:space="preserve"> (</w:t>
      </w:r>
      <w:proofErr w:type="spellStart"/>
      <w:r w:rsidR="001F4DB0">
        <w:t>ie</w:t>
      </w:r>
      <w:proofErr w:type="spellEnd"/>
      <w:r w:rsidR="001F4DB0">
        <w:t xml:space="preserve"> upfront replacement, fallback language or future rate switch)</w:t>
      </w:r>
      <w:r w:rsidR="00345D5A">
        <w:t>, which</w:t>
      </w:r>
      <w:r w:rsidR="001F4DB0">
        <w:t xml:space="preserve"> must</w:t>
      </w:r>
      <w:r w:rsidR="00345D5A">
        <w:t xml:space="preserve"> include the adoption of an alternative rate to LIBOR. </w:t>
      </w:r>
    </w:p>
    <w:p w14:paraId="5B1CA17F" w14:textId="77777777" w:rsidR="00345D5A" w:rsidRDefault="00345D5A" w:rsidP="0066526D">
      <w:pPr>
        <w:pStyle w:val="NoSpacing"/>
      </w:pPr>
    </w:p>
    <w:p w14:paraId="38BD8F41" w14:textId="74332430" w:rsidR="001F4DB0" w:rsidRDefault="00345D5A" w:rsidP="0066526D">
      <w:pPr>
        <w:pStyle w:val="NoSpacing"/>
        <w:rPr>
          <w:rFonts w:ascii="Calibri" w:hAnsi="Calibri" w:cs="Calibri"/>
        </w:rPr>
      </w:pPr>
      <w:r w:rsidRPr="00345D5A">
        <w:rPr>
          <w:rFonts w:ascii="Calibri" w:hAnsi="Calibri" w:cs="Calibri"/>
        </w:rPr>
        <w:t xml:space="preserve">With regard to the FCA’s proposed approach to compel production of a synthetic LIBOR rate for certain tenors after the end of 2021, the FCA has been clear that this remains subject to a series of public consultations on how it would use its new powers, including on the </w:t>
      </w:r>
      <w:r w:rsidR="00B33F81">
        <w:rPr>
          <w:rFonts w:ascii="Calibri" w:hAnsi="Calibri" w:cs="Calibri"/>
        </w:rPr>
        <w:t>scope</w:t>
      </w:r>
      <w:r w:rsidR="00B33F81" w:rsidRPr="00345D5A">
        <w:rPr>
          <w:rFonts w:ascii="Calibri" w:hAnsi="Calibri" w:cs="Calibri"/>
        </w:rPr>
        <w:t xml:space="preserve"> </w:t>
      </w:r>
      <w:r w:rsidRPr="00345D5A">
        <w:rPr>
          <w:rFonts w:ascii="Calibri" w:hAnsi="Calibri" w:cs="Calibri"/>
        </w:rPr>
        <w:t xml:space="preserve">of permitted use of any synthetic rates.  The FCA has also made </w:t>
      </w:r>
      <w:r w:rsidR="00670F44">
        <w:rPr>
          <w:rFonts w:ascii="Calibri" w:hAnsi="Calibri" w:cs="Calibri"/>
        </w:rPr>
        <w:t xml:space="preserve">it </w:t>
      </w:r>
      <w:r w:rsidRPr="00345D5A">
        <w:rPr>
          <w:rFonts w:ascii="Calibri" w:hAnsi="Calibri" w:cs="Calibri"/>
        </w:rPr>
        <w:t>clear that any synthetic LIBOR settings would not be ‘representative’ of the markets they were intended to measure, and would be time</w:t>
      </w:r>
      <w:r w:rsidR="00B33F81">
        <w:rPr>
          <w:rFonts w:ascii="Calibri" w:hAnsi="Calibri" w:cs="Calibri"/>
        </w:rPr>
        <w:t>-</w:t>
      </w:r>
      <w:r w:rsidRPr="00345D5A">
        <w:rPr>
          <w:rFonts w:ascii="Calibri" w:hAnsi="Calibri" w:cs="Calibri"/>
        </w:rPr>
        <w:t>limited and subject to regular review</w:t>
      </w:r>
      <w:r w:rsidR="00A921FF">
        <w:rPr>
          <w:rFonts w:ascii="Calibri" w:hAnsi="Calibri" w:cs="Calibri"/>
        </w:rPr>
        <w:t xml:space="preserve"> (see announcement by </w:t>
      </w:r>
      <w:r w:rsidR="00A921FF">
        <w:t xml:space="preserve">the </w:t>
      </w:r>
      <w:hyperlink r:id="rId12" w:history="1">
        <w:r w:rsidR="00A921FF" w:rsidRPr="00C419AE">
          <w:rPr>
            <w:rStyle w:val="Hyperlink"/>
          </w:rPr>
          <w:t>Financial Conduct Authority (FCA) on its website</w:t>
        </w:r>
      </w:hyperlink>
      <w:r w:rsidR="00A921FF">
        <w:rPr>
          <w:rStyle w:val="Hyperlink"/>
        </w:rPr>
        <w:t>)</w:t>
      </w:r>
      <w:r>
        <w:rPr>
          <w:rFonts w:ascii="Calibri" w:hAnsi="Calibri" w:cs="Calibri"/>
        </w:rPr>
        <w:t>.</w:t>
      </w:r>
      <w:r w:rsidRPr="00345D5A">
        <w:rPr>
          <w:rFonts w:ascii="Calibri" w:hAnsi="Calibri" w:cs="Calibri"/>
        </w:rPr>
        <w:t xml:space="preserve">  </w:t>
      </w:r>
    </w:p>
    <w:p w14:paraId="1581DB44" w14:textId="77777777" w:rsidR="001F4DB0" w:rsidRDefault="001F4DB0" w:rsidP="0066526D">
      <w:pPr>
        <w:pStyle w:val="NoSpacing"/>
      </w:pPr>
    </w:p>
    <w:p w14:paraId="7528C0FD" w14:textId="25737CE3" w:rsidR="00F30B2A" w:rsidRDefault="00F30B2A" w:rsidP="0066526D">
      <w:pPr>
        <w:pStyle w:val="NoSpacing"/>
      </w:pPr>
      <w:r w:rsidRPr="00F30B2A">
        <w:t>The Bank’s loan data</w:t>
      </w:r>
      <w:r>
        <w:t xml:space="preserve"> </w:t>
      </w:r>
      <w:r w:rsidRPr="00F30B2A">
        <w:t xml:space="preserve">tapes will not be changed to include a data </w:t>
      </w:r>
      <w:r>
        <w:t>field related to synthetic LIBOR.</w:t>
      </w:r>
    </w:p>
    <w:p w14:paraId="5E51BF6B" w14:textId="663CE538" w:rsidR="00C656A6" w:rsidRDefault="00C656A6" w:rsidP="00C656A6">
      <w:pPr>
        <w:pStyle w:val="NoSpacing"/>
      </w:pPr>
    </w:p>
    <w:p w14:paraId="0AB0953D" w14:textId="77777777" w:rsidR="00B468A5" w:rsidRPr="00C656A6" w:rsidRDefault="00B468A5" w:rsidP="00C656A6">
      <w:pPr>
        <w:pStyle w:val="NoSpacing"/>
      </w:pPr>
    </w:p>
    <w:p w14:paraId="26571C1C" w14:textId="133A74A5" w:rsidR="00726135" w:rsidRDefault="00726135" w:rsidP="00B468A5">
      <w:pPr>
        <w:spacing w:after="0" w:line="240" w:lineRule="auto"/>
        <w:rPr>
          <w:b/>
        </w:rPr>
      </w:pPr>
      <w:r>
        <w:rPr>
          <w:b/>
        </w:rPr>
        <w:t>Q1</w:t>
      </w:r>
      <w:r w:rsidR="002E3567">
        <w:rPr>
          <w:b/>
        </w:rPr>
        <w:t>3</w:t>
      </w:r>
      <w:r w:rsidR="00F11FFA">
        <w:rPr>
          <w:b/>
        </w:rPr>
        <w:t>:</w:t>
      </w:r>
      <w:r>
        <w:rPr>
          <w:b/>
        </w:rPr>
        <w:t xml:space="preserve"> What will happen if the application of LIBOR linked haircut add-ons results in SMF participants becoming under-collateralised against existing drawings?</w:t>
      </w:r>
    </w:p>
    <w:p w14:paraId="0E78E0A1" w14:textId="77777777" w:rsidR="00B468A5" w:rsidRPr="00B468A5" w:rsidRDefault="00B468A5" w:rsidP="00B468A5">
      <w:pPr>
        <w:spacing w:after="0" w:line="240" w:lineRule="auto"/>
        <w:rPr>
          <w:sz w:val="12"/>
        </w:rPr>
      </w:pPr>
    </w:p>
    <w:p w14:paraId="76DE1FF5" w14:textId="408020D8" w:rsidR="00726135" w:rsidRDefault="00726135" w:rsidP="00B468A5">
      <w:pPr>
        <w:spacing w:after="0" w:line="240" w:lineRule="auto"/>
      </w:pPr>
      <w:r>
        <w:t xml:space="preserve">The Bank will make a call for additional collateral in line with the Bank’s SMF operating procedures. </w:t>
      </w:r>
    </w:p>
    <w:p w14:paraId="0B731B49" w14:textId="77777777" w:rsidR="00B468A5" w:rsidRDefault="00B468A5" w:rsidP="00B468A5">
      <w:pPr>
        <w:spacing w:after="0" w:line="240" w:lineRule="auto"/>
      </w:pPr>
    </w:p>
    <w:p w14:paraId="0F08E2DA" w14:textId="6EE88577" w:rsidR="00CE7A60" w:rsidRPr="007A06A5" w:rsidRDefault="00726135" w:rsidP="0066526D">
      <w:pPr>
        <w:spacing w:after="0" w:line="240" w:lineRule="auto"/>
      </w:pPr>
      <w:r>
        <w:t>SMF participants should actively consider the potential impact that the application of the scheduled LIBOR linked haircut add-ons may have on their drawing capacity.</w:t>
      </w:r>
      <w:r w:rsidR="00EE7267" w:rsidRPr="00EE7267">
        <w:t xml:space="preserve"> </w:t>
      </w:r>
      <w:r w:rsidR="00EE7267">
        <w:t>P</w:t>
      </w:r>
      <w:r w:rsidR="00EE7267" w:rsidRPr="00D94CF9">
        <w:t>articipants are encouraged to communicate and engage proactively with the Bank on their plans for managing any LIBOR Linked Collateral.</w:t>
      </w:r>
    </w:p>
    <w:sectPr w:rsidR="00CE7A60" w:rsidRPr="007A06A5">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01B86" w14:textId="77777777" w:rsidR="0016566F" w:rsidRDefault="0016566F" w:rsidP="007F6A8C">
      <w:pPr>
        <w:spacing w:after="0" w:line="240" w:lineRule="auto"/>
      </w:pPr>
      <w:r>
        <w:separator/>
      </w:r>
    </w:p>
  </w:endnote>
  <w:endnote w:type="continuationSeparator" w:id="0">
    <w:p w14:paraId="36E9EFB7" w14:textId="77777777" w:rsidR="0016566F" w:rsidRDefault="0016566F" w:rsidP="007F6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FD638" w14:textId="77777777" w:rsidR="0016566F" w:rsidRDefault="0016566F" w:rsidP="007F6A8C">
      <w:pPr>
        <w:spacing w:after="0" w:line="240" w:lineRule="auto"/>
      </w:pPr>
      <w:r>
        <w:separator/>
      </w:r>
    </w:p>
  </w:footnote>
  <w:footnote w:type="continuationSeparator" w:id="0">
    <w:p w14:paraId="0191D35F" w14:textId="77777777" w:rsidR="0016566F" w:rsidRDefault="0016566F" w:rsidP="007F6A8C">
      <w:pPr>
        <w:spacing w:after="0" w:line="240" w:lineRule="auto"/>
      </w:pPr>
      <w:r>
        <w:continuationSeparator/>
      </w:r>
    </w:p>
  </w:footnote>
  <w:footnote w:id="1">
    <w:p w14:paraId="732C5DA5" w14:textId="52E3C5DE" w:rsidR="00F71A9B" w:rsidRDefault="00F71A9B">
      <w:pPr>
        <w:pStyle w:val="FootnoteText"/>
      </w:pPr>
      <w:r>
        <w:rPr>
          <w:rStyle w:val="FootnoteReference"/>
        </w:rPr>
        <w:footnoteRef/>
      </w:r>
      <w:r>
        <w:t xml:space="preserve"> Covered in ‘</w:t>
      </w:r>
      <w:hyperlink r:id="rId1" w:history="1">
        <w:r w:rsidRPr="00F71A9B">
          <w:rPr>
            <w:rStyle w:val="Hyperlink"/>
          </w:rPr>
          <w:t>Loan Collateral: guidance for participants in the Sterling Monetary Framework</w:t>
        </w:r>
      </w:hyperlink>
      <w:r>
        <w:t>’ (pages 15-17).</w:t>
      </w:r>
    </w:p>
  </w:footnote>
  <w:footnote w:id="2">
    <w:p w14:paraId="679C534C" w14:textId="0A81225E" w:rsidR="007F6A8C" w:rsidRDefault="007F6A8C" w:rsidP="00432B20">
      <w:pPr>
        <w:pStyle w:val="FootnoteText"/>
      </w:pPr>
      <w:r>
        <w:rPr>
          <w:rStyle w:val="FootnoteReference"/>
        </w:rPr>
        <w:footnoteRef/>
      </w:r>
      <w:r>
        <w:t xml:space="preserve"> </w:t>
      </w:r>
      <w:hyperlink r:id="rId2" w:history="1">
        <w:r w:rsidRPr="009F75EB">
          <w:rPr>
            <w:rStyle w:val="Hyperlink"/>
          </w:rPr>
          <w:t>https://www.bankofengland.co.uk/markets/eligible-collateral</w:t>
        </w:r>
      </w:hyperlink>
      <w:r>
        <w:t xml:space="preserve">  (see under ‘legal documentation’</w:t>
      </w:r>
      <w:r w:rsidR="002F1CE0">
        <w:t>).</w:t>
      </w:r>
      <w:r w:rsidR="00300125">
        <w:t xml:space="preserve"> </w:t>
      </w:r>
      <w:r w:rsidR="002F1CE0">
        <w:t>Participants should</w:t>
      </w:r>
      <w:r w:rsidR="00432B20">
        <w:t xml:space="preserve"> note </w:t>
      </w:r>
      <w:r w:rsidR="002F1CE0">
        <w:t xml:space="preserve">that </w:t>
      </w:r>
      <w:r w:rsidR="00432B20">
        <w:t xml:space="preserve">there are two different </w:t>
      </w:r>
      <w:r w:rsidR="002F1CE0">
        <w:t>forms</w:t>
      </w:r>
      <w:r w:rsidR="00432B20">
        <w:t xml:space="preserve"> of due diligence questionnaire</w:t>
      </w:r>
      <w:r w:rsidR="002F1CE0">
        <w:t xml:space="preserve"> for LIBOR Linked Loan Portfolios</w:t>
      </w:r>
      <w:r w:rsidR="00432B20">
        <w:t xml:space="preserve"> – one for fallbacks or future rate switches, and another for upfront replacements of LIBOR</w:t>
      </w:r>
      <w:r w:rsidR="00300125">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38F3F" w14:textId="0137E4E3" w:rsidR="0014590D" w:rsidRDefault="0014590D" w:rsidP="0014590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12A6"/>
    <w:multiLevelType w:val="hybridMultilevel"/>
    <w:tmpl w:val="386602DE"/>
    <w:lvl w:ilvl="0" w:tplc="2FAC3D9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475691"/>
    <w:multiLevelType w:val="hybridMultilevel"/>
    <w:tmpl w:val="2A289D58"/>
    <w:lvl w:ilvl="0" w:tplc="2D44FBEC">
      <w:start w:val="1"/>
      <w:numFmt w:val="lowerRoman"/>
      <w:lvlText w:val="%1."/>
      <w:lvlJc w:val="right"/>
      <w:pPr>
        <w:ind w:left="567" w:hanging="207"/>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7894401"/>
    <w:multiLevelType w:val="hybridMultilevel"/>
    <w:tmpl w:val="03261B4A"/>
    <w:lvl w:ilvl="0" w:tplc="333A819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8443A4E"/>
    <w:multiLevelType w:val="hybridMultilevel"/>
    <w:tmpl w:val="662E8E82"/>
    <w:lvl w:ilvl="0" w:tplc="9F5879E2">
      <w:start w:val="1"/>
      <w:numFmt w:val="upperLetter"/>
      <w:lvlText w:val="%1."/>
      <w:lvlJc w:val="left"/>
      <w:pPr>
        <w:ind w:left="720" w:hanging="360"/>
      </w:pPr>
      <w:rPr>
        <w:rFonts w:cs="Times New Roman"/>
        <w:color w:val="1F497D"/>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0EC"/>
    <w:rsid w:val="00016562"/>
    <w:rsid w:val="00020713"/>
    <w:rsid w:val="00031DD8"/>
    <w:rsid w:val="00034C31"/>
    <w:rsid w:val="0005752A"/>
    <w:rsid w:val="0007051D"/>
    <w:rsid w:val="00073412"/>
    <w:rsid w:val="00084C01"/>
    <w:rsid w:val="000A1548"/>
    <w:rsid w:val="000B74DC"/>
    <w:rsid w:val="000C16CA"/>
    <w:rsid w:val="000C4AD4"/>
    <w:rsid w:val="000E3980"/>
    <w:rsid w:val="000E64D5"/>
    <w:rsid w:val="001109FF"/>
    <w:rsid w:val="001258B3"/>
    <w:rsid w:val="0014590D"/>
    <w:rsid w:val="00151A08"/>
    <w:rsid w:val="001533F0"/>
    <w:rsid w:val="0016566F"/>
    <w:rsid w:val="00176D65"/>
    <w:rsid w:val="00196872"/>
    <w:rsid w:val="001A361F"/>
    <w:rsid w:val="001A60F3"/>
    <w:rsid w:val="001B39E0"/>
    <w:rsid w:val="001D0122"/>
    <w:rsid w:val="001E353D"/>
    <w:rsid w:val="001F26CA"/>
    <w:rsid w:val="001F45B6"/>
    <w:rsid w:val="001F4DB0"/>
    <w:rsid w:val="00202AC0"/>
    <w:rsid w:val="00205D6C"/>
    <w:rsid w:val="002060DF"/>
    <w:rsid w:val="002275FE"/>
    <w:rsid w:val="00231A48"/>
    <w:rsid w:val="00235A10"/>
    <w:rsid w:val="002369C8"/>
    <w:rsid w:val="00242094"/>
    <w:rsid w:val="00242812"/>
    <w:rsid w:val="00251700"/>
    <w:rsid w:val="00270877"/>
    <w:rsid w:val="00281A41"/>
    <w:rsid w:val="002A5F49"/>
    <w:rsid w:val="002B09D9"/>
    <w:rsid w:val="002B69F2"/>
    <w:rsid w:val="002B7EA4"/>
    <w:rsid w:val="002E34ED"/>
    <w:rsid w:val="002E3567"/>
    <w:rsid w:val="002F1CE0"/>
    <w:rsid w:val="002F3CE7"/>
    <w:rsid w:val="002F52F5"/>
    <w:rsid w:val="002F57D3"/>
    <w:rsid w:val="002F698B"/>
    <w:rsid w:val="00300125"/>
    <w:rsid w:val="00300C85"/>
    <w:rsid w:val="00300D1D"/>
    <w:rsid w:val="00302BD8"/>
    <w:rsid w:val="0030342B"/>
    <w:rsid w:val="00306FE9"/>
    <w:rsid w:val="003400DA"/>
    <w:rsid w:val="00345D5A"/>
    <w:rsid w:val="00350EEC"/>
    <w:rsid w:val="00355212"/>
    <w:rsid w:val="0035649A"/>
    <w:rsid w:val="003604D8"/>
    <w:rsid w:val="00382F3E"/>
    <w:rsid w:val="00385711"/>
    <w:rsid w:val="00397011"/>
    <w:rsid w:val="003A28D7"/>
    <w:rsid w:val="003A6D26"/>
    <w:rsid w:val="003B4C9F"/>
    <w:rsid w:val="003D06DA"/>
    <w:rsid w:val="003D2610"/>
    <w:rsid w:val="003E3CAA"/>
    <w:rsid w:val="003F02A0"/>
    <w:rsid w:val="003F30E0"/>
    <w:rsid w:val="0040531C"/>
    <w:rsid w:val="00425D2C"/>
    <w:rsid w:val="00432B20"/>
    <w:rsid w:val="00475D7B"/>
    <w:rsid w:val="00496CFB"/>
    <w:rsid w:val="0049773F"/>
    <w:rsid w:val="004A2F29"/>
    <w:rsid w:val="004A3030"/>
    <w:rsid w:val="004B339F"/>
    <w:rsid w:val="004C04B4"/>
    <w:rsid w:val="004D64FB"/>
    <w:rsid w:val="004D6F00"/>
    <w:rsid w:val="004E14BA"/>
    <w:rsid w:val="004F484A"/>
    <w:rsid w:val="004F5206"/>
    <w:rsid w:val="00510978"/>
    <w:rsid w:val="00515B61"/>
    <w:rsid w:val="00524479"/>
    <w:rsid w:val="0053263D"/>
    <w:rsid w:val="00533B71"/>
    <w:rsid w:val="005434BA"/>
    <w:rsid w:val="005503EB"/>
    <w:rsid w:val="00550B5E"/>
    <w:rsid w:val="00555489"/>
    <w:rsid w:val="00555EB0"/>
    <w:rsid w:val="0055758F"/>
    <w:rsid w:val="00560134"/>
    <w:rsid w:val="00560663"/>
    <w:rsid w:val="00560B35"/>
    <w:rsid w:val="005679D9"/>
    <w:rsid w:val="00584E04"/>
    <w:rsid w:val="00593B26"/>
    <w:rsid w:val="00593E11"/>
    <w:rsid w:val="005957CF"/>
    <w:rsid w:val="005B014B"/>
    <w:rsid w:val="005B60EC"/>
    <w:rsid w:val="005C44BC"/>
    <w:rsid w:val="005C53FB"/>
    <w:rsid w:val="005D6AEB"/>
    <w:rsid w:val="005E4EE0"/>
    <w:rsid w:val="005E511D"/>
    <w:rsid w:val="005F0EC7"/>
    <w:rsid w:val="00603192"/>
    <w:rsid w:val="00604929"/>
    <w:rsid w:val="006049D5"/>
    <w:rsid w:val="0061349B"/>
    <w:rsid w:val="00626AB0"/>
    <w:rsid w:val="00654246"/>
    <w:rsid w:val="0065744C"/>
    <w:rsid w:val="0066526D"/>
    <w:rsid w:val="0067014C"/>
    <w:rsid w:val="00670F44"/>
    <w:rsid w:val="00673EEB"/>
    <w:rsid w:val="00692903"/>
    <w:rsid w:val="0069609C"/>
    <w:rsid w:val="006961DD"/>
    <w:rsid w:val="006A5C6F"/>
    <w:rsid w:val="006A793C"/>
    <w:rsid w:val="006B07D6"/>
    <w:rsid w:val="006C7B5D"/>
    <w:rsid w:val="006D587A"/>
    <w:rsid w:val="006F7A3A"/>
    <w:rsid w:val="00704AF1"/>
    <w:rsid w:val="00705E34"/>
    <w:rsid w:val="00710387"/>
    <w:rsid w:val="007139C7"/>
    <w:rsid w:val="00713FF9"/>
    <w:rsid w:val="007158C2"/>
    <w:rsid w:val="00715B1F"/>
    <w:rsid w:val="00721FC6"/>
    <w:rsid w:val="0072203F"/>
    <w:rsid w:val="007235B2"/>
    <w:rsid w:val="00723C81"/>
    <w:rsid w:val="00726135"/>
    <w:rsid w:val="00737904"/>
    <w:rsid w:val="007474B4"/>
    <w:rsid w:val="00760DA5"/>
    <w:rsid w:val="00770498"/>
    <w:rsid w:val="00775D41"/>
    <w:rsid w:val="007907C9"/>
    <w:rsid w:val="007A06A5"/>
    <w:rsid w:val="007B1633"/>
    <w:rsid w:val="007D2303"/>
    <w:rsid w:val="007D65DD"/>
    <w:rsid w:val="007E46E6"/>
    <w:rsid w:val="007E59E9"/>
    <w:rsid w:val="007F6A8C"/>
    <w:rsid w:val="008024F2"/>
    <w:rsid w:val="008037B0"/>
    <w:rsid w:val="00804F22"/>
    <w:rsid w:val="00841631"/>
    <w:rsid w:val="00844823"/>
    <w:rsid w:val="008563F4"/>
    <w:rsid w:val="008678C0"/>
    <w:rsid w:val="00867FC4"/>
    <w:rsid w:val="00882EB8"/>
    <w:rsid w:val="008A3B43"/>
    <w:rsid w:val="008A3BF6"/>
    <w:rsid w:val="008C157E"/>
    <w:rsid w:val="008C385C"/>
    <w:rsid w:val="008C40AC"/>
    <w:rsid w:val="008C4365"/>
    <w:rsid w:val="008C64E2"/>
    <w:rsid w:val="008E4960"/>
    <w:rsid w:val="008F6C89"/>
    <w:rsid w:val="009362F4"/>
    <w:rsid w:val="00945E96"/>
    <w:rsid w:val="009526EC"/>
    <w:rsid w:val="009529E8"/>
    <w:rsid w:val="00953EA9"/>
    <w:rsid w:val="00953EFE"/>
    <w:rsid w:val="00970354"/>
    <w:rsid w:val="009824B2"/>
    <w:rsid w:val="00985A5C"/>
    <w:rsid w:val="0099147C"/>
    <w:rsid w:val="009A0DF3"/>
    <w:rsid w:val="009A0E52"/>
    <w:rsid w:val="009A0F23"/>
    <w:rsid w:val="009A602E"/>
    <w:rsid w:val="009A7B6F"/>
    <w:rsid w:val="009C0639"/>
    <w:rsid w:val="009C0D35"/>
    <w:rsid w:val="009C1DFA"/>
    <w:rsid w:val="009D6AED"/>
    <w:rsid w:val="009E04AD"/>
    <w:rsid w:val="009F5CDA"/>
    <w:rsid w:val="00A03C50"/>
    <w:rsid w:val="00A069F8"/>
    <w:rsid w:val="00A106B2"/>
    <w:rsid w:val="00A135A8"/>
    <w:rsid w:val="00A208AE"/>
    <w:rsid w:val="00A227A4"/>
    <w:rsid w:val="00A31BCE"/>
    <w:rsid w:val="00A37B06"/>
    <w:rsid w:val="00A37FF8"/>
    <w:rsid w:val="00A42EA1"/>
    <w:rsid w:val="00A443B2"/>
    <w:rsid w:val="00A47AFF"/>
    <w:rsid w:val="00A66CBE"/>
    <w:rsid w:val="00A75BC4"/>
    <w:rsid w:val="00A82EA9"/>
    <w:rsid w:val="00A907A7"/>
    <w:rsid w:val="00A921FF"/>
    <w:rsid w:val="00AA65B5"/>
    <w:rsid w:val="00AA7B2A"/>
    <w:rsid w:val="00AB21DE"/>
    <w:rsid w:val="00AC1429"/>
    <w:rsid w:val="00AC28E4"/>
    <w:rsid w:val="00AD3040"/>
    <w:rsid w:val="00AD706F"/>
    <w:rsid w:val="00AE4B44"/>
    <w:rsid w:val="00AE6980"/>
    <w:rsid w:val="00AF1FA5"/>
    <w:rsid w:val="00B04BEB"/>
    <w:rsid w:val="00B146F1"/>
    <w:rsid w:val="00B15D1F"/>
    <w:rsid w:val="00B33F81"/>
    <w:rsid w:val="00B41A99"/>
    <w:rsid w:val="00B42DCD"/>
    <w:rsid w:val="00B44C87"/>
    <w:rsid w:val="00B468A5"/>
    <w:rsid w:val="00B46EB3"/>
    <w:rsid w:val="00B51E47"/>
    <w:rsid w:val="00B61F6F"/>
    <w:rsid w:val="00B718CE"/>
    <w:rsid w:val="00B75961"/>
    <w:rsid w:val="00B77C68"/>
    <w:rsid w:val="00B82AFC"/>
    <w:rsid w:val="00BC329A"/>
    <w:rsid w:val="00BC6A14"/>
    <w:rsid w:val="00BD10D5"/>
    <w:rsid w:val="00BD2516"/>
    <w:rsid w:val="00BD7249"/>
    <w:rsid w:val="00BE5391"/>
    <w:rsid w:val="00BF0D55"/>
    <w:rsid w:val="00C00667"/>
    <w:rsid w:val="00C13C4B"/>
    <w:rsid w:val="00C3040C"/>
    <w:rsid w:val="00C40210"/>
    <w:rsid w:val="00C419AE"/>
    <w:rsid w:val="00C44C96"/>
    <w:rsid w:val="00C4545E"/>
    <w:rsid w:val="00C47ABA"/>
    <w:rsid w:val="00C52576"/>
    <w:rsid w:val="00C656A6"/>
    <w:rsid w:val="00C745E7"/>
    <w:rsid w:val="00CC707A"/>
    <w:rsid w:val="00CD119B"/>
    <w:rsid w:val="00CE53BB"/>
    <w:rsid w:val="00CE7A60"/>
    <w:rsid w:val="00D06E4B"/>
    <w:rsid w:val="00D162AD"/>
    <w:rsid w:val="00D20C9E"/>
    <w:rsid w:val="00D219A1"/>
    <w:rsid w:val="00D23BDB"/>
    <w:rsid w:val="00D26F12"/>
    <w:rsid w:val="00D30B2A"/>
    <w:rsid w:val="00D314CA"/>
    <w:rsid w:val="00D4312A"/>
    <w:rsid w:val="00D50D48"/>
    <w:rsid w:val="00D77972"/>
    <w:rsid w:val="00D83AC3"/>
    <w:rsid w:val="00D94CF9"/>
    <w:rsid w:val="00DA31FF"/>
    <w:rsid w:val="00DB2B66"/>
    <w:rsid w:val="00DB5FA9"/>
    <w:rsid w:val="00DD699F"/>
    <w:rsid w:val="00DF4D6D"/>
    <w:rsid w:val="00DF60D0"/>
    <w:rsid w:val="00E03E9B"/>
    <w:rsid w:val="00E05C05"/>
    <w:rsid w:val="00E11582"/>
    <w:rsid w:val="00E23DCA"/>
    <w:rsid w:val="00E319A6"/>
    <w:rsid w:val="00E31C01"/>
    <w:rsid w:val="00E459A1"/>
    <w:rsid w:val="00E471B8"/>
    <w:rsid w:val="00E573B2"/>
    <w:rsid w:val="00E868C1"/>
    <w:rsid w:val="00E9653B"/>
    <w:rsid w:val="00EC71BD"/>
    <w:rsid w:val="00EC7B9F"/>
    <w:rsid w:val="00ED305D"/>
    <w:rsid w:val="00EE5CF9"/>
    <w:rsid w:val="00EE7267"/>
    <w:rsid w:val="00EF0BE8"/>
    <w:rsid w:val="00F11FFA"/>
    <w:rsid w:val="00F30B2A"/>
    <w:rsid w:val="00F36506"/>
    <w:rsid w:val="00F51BCF"/>
    <w:rsid w:val="00F66AFF"/>
    <w:rsid w:val="00F71A9B"/>
    <w:rsid w:val="00F7543A"/>
    <w:rsid w:val="00FA2A38"/>
    <w:rsid w:val="00FB5322"/>
    <w:rsid w:val="00FD5337"/>
    <w:rsid w:val="00FE08B2"/>
    <w:rsid w:val="00FE40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B581D"/>
  <w15:chartTrackingRefBased/>
  <w15:docId w15:val="{4CA71217-75C0-450D-B56A-D8CC45A81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06A5"/>
    <w:pPr>
      <w:spacing w:after="0" w:line="240" w:lineRule="auto"/>
    </w:pPr>
  </w:style>
  <w:style w:type="character" w:styleId="Hyperlink">
    <w:name w:val="Hyperlink"/>
    <w:basedOn w:val="DefaultParagraphFont"/>
    <w:uiPriority w:val="99"/>
    <w:unhideWhenUsed/>
    <w:rsid w:val="00F7543A"/>
    <w:rPr>
      <w:color w:val="0000FF" w:themeColor="hyperlink"/>
      <w:u w:val="single"/>
    </w:rPr>
  </w:style>
  <w:style w:type="character" w:styleId="CommentReference">
    <w:name w:val="annotation reference"/>
    <w:basedOn w:val="DefaultParagraphFont"/>
    <w:uiPriority w:val="99"/>
    <w:semiHidden/>
    <w:unhideWhenUsed/>
    <w:rsid w:val="008F6C89"/>
    <w:rPr>
      <w:sz w:val="16"/>
      <w:szCs w:val="16"/>
    </w:rPr>
  </w:style>
  <w:style w:type="paragraph" w:styleId="CommentText">
    <w:name w:val="annotation text"/>
    <w:basedOn w:val="Normal"/>
    <w:link w:val="CommentTextChar"/>
    <w:uiPriority w:val="99"/>
    <w:unhideWhenUsed/>
    <w:rsid w:val="008F6C89"/>
    <w:pPr>
      <w:spacing w:line="240" w:lineRule="auto"/>
    </w:pPr>
    <w:rPr>
      <w:sz w:val="20"/>
      <w:szCs w:val="20"/>
    </w:rPr>
  </w:style>
  <w:style w:type="character" w:customStyle="1" w:styleId="CommentTextChar">
    <w:name w:val="Comment Text Char"/>
    <w:basedOn w:val="DefaultParagraphFont"/>
    <w:link w:val="CommentText"/>
    <w:uiPriority w:val="99"/>
    <w:rsid w:val="008F6C89"/>
    <w:rPr>
      <w:sz w:val="20"/>
      <w:szCs w:val="20"/>
    </w:rPr>
  </w:style>
  <w:style w:type="paragraph" w:styleId="CommentSubject">
    <w:name w:val="annotation subject"/>
    <w:basedOn w:val="CommentText"/>
    <w:next w:val="CommentText"/>
    <w:link w:val="CommentSubjectChar"/>
    <w:uiPriority w:val="99"/>
    <w:semiHidden/>
    <w:unhideWhenUsed/>
    <w:rsid w:val="008F6C89"/>
    <w:rPr>
      <w:b/>
      <w:bCs/>
    </w:rPr>
  </w:style>
  <w:style w:type="character" w:customStyle="1" w:styleId="CommentSubjectChar">
    <w:name w:val="Comment Subject Char"/>
    <w:basedOn w:val="CommentTextChar"/>
    <w:link w:val="CommentSubject"/>
    <w:uiPriority w:val="99"/>
    <w:semiHidden/>
    <w:rsid w:val="008F6C89"/>
    <w:rPr>
      <w:b/>
      <w:bCs/>
      <w:sz w:val="20"/>
      <w:szCs w:val="20"/>
    </w:rPr>
  </w:style>
  <w:style w:type="paragraph" w:styleId="BalloonText">
    <w:name w:val="Balloon Text"/>
    <w:basedOn w:val="Normal"/>
    <w:link w:val="BalloonTextChar"/>
    <w:uiPriority w:val="99"/>
    <w:semiHidden/>
    <w:unhideWhenUsed/>
    <w:rsid w:val="008F6C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C89"/>
    <w:rPr>
      <w:rFonts w:ascii="Segoe UI" w:hAnsi="Segoe UI" w:cs="Segoe UI"/>
      <w:sz w:val="18"/>
      <w:szCs w:val="18"/>
    </w:rPr>
  </w:style>
  <w:style w:type="character" w:styleId="FollowedHyperlink">
    <w:name w:val="FollowedHyperlink"/>
    <w:basedOn w:val="DefaultParagraphFont"/>
    <w:uiPriority w:val="99"/>
    <w:semiHidden/>
    <w:unhideWhenUsed/>
    <w:rsid w:val="00C419AE"/>
    <w:rPr>
      <w:color w:val="800080" w:themeColor="followedHyperlink"/>
      <w:u w:val="single"/>
    </w:rPr>
  </w:style>
  <w:style w:type="paragraph" w:styleId="FootnoteText">
    <w:name w:val="footnote text"/>
    <w:basedOn w:val="Normal"/>
    <w:link w:val="FootnoteTextChar"/>
    <w:uiPriority w:val="99"/>
    <w:unhideWhenUsed/>
    <w:rsid w:val="007F6A8C"/>
    <w:pPr>
      <w:spacing w:after="0" w:line="240" w:lineRule="auto"/>
    </w:pPr>
    <w:rPr>
      <w:sz w:val="20"/>
      <w:szCs w:val="20"/>
    </w:rPr>
  </w:style>
  <w:style w:type="character" w:customStyle="1" w:styleId="FootnoteTextChar">
    <w:name w:val="Footnote Text Char"/>
    <w:basedOn w:val="DefaultParagraphFont"/>
    <w:link w:val="FootnoteText"/>
    <w:uiPriority w:val="99"/>
    <w:rsid w:val="007F6A8C"/>
    <w:rPr>
      <w:sz w:val="20"/>
      <w:szCs w:val="20"/>
    </w:rPr>
  </w:style>
  <w:style w:type="character" w:styleId="FootnoteReference">
    <w:name w:val="footnote reference"/>
    <w:basedOn w:val="DefaultParagraphFont"/>
    <w:uiPriority w:val="99"/>
    <w:semiHidden/>
    <w:unhideWhenUsed/>
    <w:rsid w:val="007F6A8C"/>
    <w:rPr>
      <w:vertAlign w:val="superscript"/>
    </w:rPr>
  </w:style>
  <w:style w:type="paragraph" w:styleId="Header">
    <w:name w:val="header"/>
    <w:basedOn w:val="Normal"/>
    <w:link w:val="HeaderChar"/>
    <w:uiPriority w:val="99"/>
    <w:unhideWhenUsed/>
    <w:rsid w:val="00FE08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08B2"/>
  </w:style>
  <w:style w:type="paragraph" w:styleId="Footer">
    <w:name w:val="footer"/>
    <w:basedOn w:val="Normal"/>
    <w:link w:val="FooterChar"/>
    <w:uiPriority w:val="99"/>
    <w:unhideWhenUsed/>
    <w:rsid w:val="00FE08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08B2"/>
  </w:style>
  <w:style w:type="paragraph" w:styleId="Revision">
    <w:name w:val="Revision"/>
    <w:hidden/>
    <w:uiPriority w:val="99"/>
    <w:semiHidden/>
    <w:rsid w:val="008678C0"/>
    <w:pPr>
      <w:spacing w:after="0" w:line="240" w:lineRule="auto"/>
    </w:pPr>
  </w:style>
  <w:style w:type="paragraph" w:styleId="ListParagraph">
    <w:name w:val="List Paragraph"/>
    <w:basedOn w:val="Normal"/>
    <w:uiPriority w:val="34"/>
    <w:qFormat/>
    <w:rsid w:val="002E3567"/>
    <w:pPr>
      <w:spacing w:line="240" w:lineRule="auto"/>
      <w:ind w:left="720"/>
      <w:contextualSpacing/>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16523">
      <w:bodyDiv w:val="1"/>
      <w:marLeft w:val="0"/>
      <w:marRight w:val="0"/>
      <w:marTop w:val="0"/>
      <w:marBottom w:val="0"/>
      <w:divBdr>
        <w:top w:val="none" w:sz="0" w:space="0" w:color="auto"/>
        <w:left w:val="none" w:sz="0" w:space="0" w:color="auto"/>
        <w:bottom w:val="none" w:sz="0" w:space="0" w:color="auto"/>
        <w:right w:val="none" w:sz="0" w:space="0" w:color="auto"/>
      </w:divBdr>
    </w:div>
    <w:div w:id="307788758">
      <w:bodyDiv w:val="1"/>
      <w:marLeft w:val="0"/>
      <w:marRight w:val="0"/>
      <w:marTop w:val="0"/>
      <w:marBottom w:val="0"/>
      <w:divBdr>
        <w:top w:val="none" w:sz="0" w:space="0" w:color="auto"/>
        <w:left w:val="none" w:sz="0" w:space="0" w:color="auto"/>
        <w:bottom w:val="none" w:sz="0" w:space="0" w:color="auto"/>
        <w:right w:val="none" w:sz="0" w:space="0" w:color="auto"/>
      </w:divBdr>
    </w:div>
    <w:div w:id="357661288">
      <w:bodyDiv w:val="1"/>
      <w:marLeft w:val="0"/>
      <w:marRight w:val="0"/>
      <w:marTop w:val="0"/>
      <w:marBottom w:val="0"/>
      <w:divBdr>
        <w:top w:val="none" w:sz="0" w:space="0" w:color="auto"/>
        <w:left w:val="none" w:sz="0" w:space="0" w:color="auto"/>
        <w:bottom w:val="none" w:sz="0" w:space="0" w:color="auto"/>
        <w:right w:val="none" w:sz="0" w:space="0" w:color="auto"/>
      </w:divBdr>
    </w:div>
    <w:div w:id="404451444">
      <w:bodyDiv w:val="1"/>
      <w:marLeft w:val="0"/>
      <w:marRight w:val="0"/>
      <w:marTop w:val="0"/>
      <w:marBottom w:val="0"/>
      <w:divBdr>
        <w:top w:val="none" w:sz="0" w:space="0" w:color="auto"/>
        <w:left w:val="none" w:sz="0" w:space="0" w:color="auto"/>
        <w:bottom w:val="none" w:sz="0" w:space="0" w:color="auto"/>
        <w:right w:val="none" w:sz="0" w:space="0" w:color="auto"/>
      </w:divBdr>
    </w:div>
    <w:div w:id="413480574">
      <w:bodyDiv w:val="1"/>
      <w:marLeft w:val="0"/>
      <w:marRight w:val="0"/>
      <w:marTop w:val="0"/>
      <w:marBottom w:val="0"/>
      <w:divBdr>
        <w:top w:val="none" w:sz="0" w:space="0" w:color="auto"/>
        <w:left w:val="none" w:sz="0" w:space="0" w:color="auto"/>
        <w:bottom w:val="none" w:sz="0" w:space="0" w:color="auto"/>
        <w:right w:val="none" w:sz="0" w:space="0" w:color="auto"/>
      </w:divBdr>
    </w:div>
    <w:div w:id="504174756">
      <w:bodyDiv w:val="1"/>
      <w:marLeft w:val="0"/>
      <w:marRight w:val="0"/>
      <w:marTop w:val="0"/>
      <w:marBottom w:val="0"/>
      <w:divBdr>
        <w:top w:val="none" w:sz="0" w:space="0" w:color="auto"/>
        <w:left w:val="none" w:sz="0" w:space="0" w:color="auto"/>
        <w:bottom w:val="none" w:sz="0" w:space="0" w:color="auto"/>
        <w:right w:val="none" w:sz="0" w:space="0" w:color="auto"/>
      </w:divBdr>
    </w:div>
    <w:div w:id="1005478182">
      <w:bodyDiv w:val="1"/>
      <w:marLeft w:val="0"/>
      <w:marRight w:val="0"/>
      <w:marTop w:val="0"/>
      <w:marBottom w:val="0"/>
      <w:divBdr>
        <w:top w:val="none" w:sz="0" w:space="0" w:color="auto"/>
        <w:left w:val="none" w:sz="0" w:space="0" w:color="auto"/>
        <w:bottom w:val="none" w:sz="0" w:space="0" w:color="auto"/>
        <w:right w:val="none" w:sz="0" w:space="0" w:color="auto"/>
      </w:divBdr>
    </w:div>
    <w:div w:id="1381127641">
      <w:bodyDiv w:val="1"/>
      <w:marLeft w:val="0"/>
      <w:marRight w:val="0"/>
      <w:marTop w:val="0"/>
      <w:marBottom w:val="0"/>
      <w:divBdr>
        <w:top w:val="none" w:sz="0" w:space="0" w:color="auto"/>
        <w:left w:val="none" w:sz="0" w:space="0" w:color="auto"/>
        <w:bottom w:val="none" w:sz="0" w:space="0" w:color="auto"/>
        <w:right w:val="none" w:sz="0" w:space="0" w:color="auto"/>
      </w:divBdr>
    </w:div>
    <w:div w:id="1694990081">
      <w:bodyDiv w:val="1"/>
      <w:marLeft w:val="0"/>
      <w:marRight w:val="0"/>
      <w:marTop w:val="0"/>
      <w:marBottom w:val="0"/>
      <w:divBdr>
        <w:top w:val="none" w:sz="0" w:space="0" w:color="auto"/>
        <w:left w:val="none" w:sz="0" w:space="0" w:color="auto"/>
        <w:bottom w:val="none" w:sz="0" w:space="0" w:color="auto"/>
        <w:right w:val="none" w:sz="0" w:space="0" w:color="auto"/>
      </w:divBdr>
    </w:div>
    <w:div w:id="1740209466">
      <w:bodyDiv w:val="1"/>
      <w:marLeft w:val="0"/>
      <w:marRight w:val="0"/>
      <w:marTop w:val="0"/>
      <w:marBottom w:val="0"/>
      <w:divBdr>
        <w:top w:val="none" w:sz="0" w:space="0" w:color="auto"/>
        <w:left w:val="none" w:sz="0" w:space="0" w:color="auto"/>
        <w:bottom w:val="none" w:sz="0" w:space="0" w:color="auto"/>
        <w:right w:val="none" w:sz="0" w:space="0" w:color="auto"/>
      </w:divBdr>
    </w:div>
    <w:div w:id="205850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nkofengland.co.uk/markets/market-notices/2021/march/risk-management-approach-to-collateral-referencing-libor-march-202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ca.org.uk/publication/documents/future-cessation-loss-representativeness-libor-benchmark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osco.org/library/pubdocs/pdf/IOSCOPD589.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fca.org.uk/publication/documents/future-cessation-loss-representativeness-libor-benchmark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bankofengland.co.uk/markets/eligible-collateral" TargetMode="External"/><Relationship Id="rId1" Type="http://schemas.openxmlformats.org/officeDocument/2006/relationships/hyperlink" Target="https://www.bankofengland.co.uk/-/media/boe/files/markets/eligible-collateral/loan-prepositioning-guid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B7462-C3A7-4FD6-B608-7015871EE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2629</Words>
  <Characters>14986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Bank of England</Company>
  <LinksUpToDate>false</LinksUpToDate>
  <CharactersWithSpaces>17580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Eckloff, Danny</dc:creator>
  <cp:keywords/>
  <dc:description/>
  <cp:lastModifiedBy>Eckloff, Danny</cp:lastModifiedBy>
  <cp:revision>2</cp:revision>
  <dcterms:created xsi:type="dcterms:W3CDTF">2021-05-28T10:30:00Z</dcterms:created>
  <dcterms:modified xsi:type="dcterms:W3CDTF">2021-05-28T10:30:00Z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-1162893600</vt:i4>
  </property>
  <property fmtid="{D5CDD505-2E9C-101B-9397-08002B2CF9AE}" pid="3" name="_NewReviewCycle">
    <vt:lpwstr/>
  </property>
  <property fmtid="{D5CDD505-2E9C-101B-9397-08002B2CF9AE}" pid="4" name="_EmailSubject">
    <vt:lpwstr>[ACT ] Q&amp;A - LIBOR Linked Loan Portfolios due diligence</vt:lpwstr>
  </property>
  <property fmtid="{D5CDD505-2E9C-101B-9397-08002B2CF9AE}" pid="5" name="_AuthorEmail">
    <vt:lpwstr>Radhika.Sood@bankofengland.co.uk</vt:lpwstr>
  </property>
  <property fmtid="{D5CDD505-2E9C-101B-9397-08002B2CF9AE}" pid="6" name="_AuthorEmailDisplayName">
    <vt:lpwstr>Sood, Radhika</vt:lpwstr>
  </property>
  <property fmtid="{D5CDD505-2E9C-101B-9397-08002B2CF9AE}" pid="7" name="_ReviewingToolsShownOnce">
    <vt:lpwstr/>
  </property>
</Properties>
</file>